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9FE5" w14:textId="27A332F7" w:rsidR="006A6893" w:rsidRDefault="006A6893" w:rsidP="006A6893">
      <w:pPr>
        <w:pStyle w:val="CoverText"/>
        <w:jc w:val="center"/>
      </w:pPr>
      <w:r w:rsidRPr="006A6893">
        <w:rPr>
          <w:noProof/>
          <w:u w:val="none"/>
        </w:rPr>
        <w:drawing>
          <wp:inline distT="0" distB="0" distL="0" distR="0" wp14:anchorId="3AE700D4" wp14:editId="41B70F4E">
            <wp:extent cx="969010" cy="960120"/>
            <wp:effectExtent l="0" t="0" r="2540" b="0"/>
            <wp:docPr id="1337623319" name="Picture 1"/>
            <wp:cNvGraphicFramePr/>
            <a:graphic xmlns:a="http://schemas.openxmlformats.org/drawingml/2006/main">
              <a:graphicData uri="http://schemas.openxmlformats.org/drawingml/2006/picture">
                <pic:pic xmlns:pic="http://schemas.openxmlformats.org/drawingml/2006/picture">
                  <pic:nvPicPr>
                    <pic:cNvPr id="133762331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08D69878" w14:textId="7C9FE023" w:rsidR="005E2342" w:rsidRDefault="005E2342">
      <w:pPr>
        <w:pStyle w:val="CoverText"/>
        <w:rPr>
          <w:b/>
          <w:spacing w:val="-3"/>
        </w:rPr>
      </w:pPr>
      <w:r>
        <w:t xml:space="preserve">Case No: </w:t>
      </w:r>
      <w:r w:rsidR="000E7AAC">
        <w:t>AC-2024-LON-001764</w:t>
      </w:r>
    </w:p>
    <w:p w14:paraId="2BA3D96F"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47D946C0" w14:textId="77777777" w:rsidR="00191E7E" w:rsidRDefault="00191E7E">
      <w:pPr>
        <w:suppressAutoHyphens/>
        <w:rPr>
          <w:b/>
          <w:spacing w:val="-3"/>
          <w:u w:val="single"/>
        </w:rPr>
      </w:pPr>
      <w:r>
        <w:rPr>
          <w:b/>
          <w:spacing w:val="-3"/>
          <w:u w:val="single"/>
        </w:rPr>
        <w:t>KING'S BENCH DIVISION</w:t>
      </w:r>
    </w:p>
    <w:p w14:paraId="11BB20D7" w14:textId="2A9ED343" w:rsidR="00D54206" w:rsidRDefault="00D54206">
      <w:pPr>
        <w:suppressAutoHyphens/>
        <w:rPr>
          <w:b/>
          <w:spacing w:val="-3"/>
          <w:u w:val="single"/>
        </w:rPr>
      </w:pPr>
      <w:r>
        <w:rPr>
          <w:b/>
          <w:spacing w:val="-3"/>
          <w:u w:val="single"/>
        </w:rPr>
        <w:t>ADMINISTRATIVE COURT</w:t>
      </w:r>
    </w:p>
    <w:p w14:paraId="757BFBE7" w14:textId="70B603C2" w:rsidR="005E2342" w:rsidRDefault="000E7AAC">
      <w:pPr>
        <w:suppressAutoHyphens/>
        <w:rPr>
          <w:b/>
          <w:spacing w:val="-3"/>
          <w:u w:val="single"/>
        </w:rPr>
      </w:pPr>
      <w:r>
        <w:rPr>
          <w:b/>
          <w:spacing w:val="-3"/>
          <w:u w:val="single"/>
        </w:rPr>
        <w:t>DIVISIONAL COURT</w:t>
      </w:r>
    </w:p>
    <w:p w14:paraId="307BCA0D" w14:textId="7F8E056A" w:rsidR="005E2342" w:rsidRDefault="00463079">
      <w:pPr>
        <w:suppressAutoHyphens/>
        <w:rPr>
          <w:b/>
          <w:spacing w:val="-3"/>
          <w:u w:val="single"/>
        </w:rPr>
      </w:pPr>
      <w:r w:rsidRPr="00463079">
        <w:rPr>
          <w:b/>
          <w:bCs/>
          <w:spacing w:val="-3"/>
          <w:u w:val="single"/>
        </w:rPr>
        <w:t>[2026] EWHC 915 (Admin)</w:t>
      </w:r>
    </w:p>
    <w:p w14:paraId="18031563" w14:textId="77777777" w:rsidR="005E2342" w:rsidRDefault="005E2342">
      <w:pPr>
        <w:pStyle w:val="CoverText"/>
      </w:pPr>
      <w:r>
        <w:t>Royal Courts of Justice</w:t>
      </w:r>
    </w:p>
    <w:p w14:paraId="49584770" w14:textId="77777777" w:rsidR="005E2342" w:rsidRDefault="005E2342">
      <w:pPr>
        <w:pStyle w:val="CoverText"/>
      </w:pPr>
      <w:r>
        <w:t>Strand, London, WC2A 2LL</w:t>
      </w:r>
    </w:p>
    <w:p w14:paraId="5AB970AC" w14:textId="77777777" w:rsidR="005E2342" w:rsidRDefault="005E2342">
      <w:pPr>
        <w:suppressAutoHyphens/>
        <w:jc w:val="right"/>
        <w:rPr>
          <w:spacing w:val="-3"/>
          <w:u w:val="single"/>
        </w:rPr>
      </w:pPr>
    </w:p>
    <w:p w14:paraId="17246049" w14:textId="699EA1E3" w:rsidR="005E2342" w:rsidRDefault="005E2342">
      <w:pPr>
        <w:pStyle w:val="CoverText"/>
        <w:rPr>
          <w:b/>
        </w:rPr>
      </w:pPr>
      <w:r>
        <w:t xml:space="preserve">Date: </w:t>
      </w:r>
      <w:r w:rsidR="006D5E52">
        <w:t>21/04/2026</w:t>
      </w:r>
    </w:p>
    <w:p w14:paraId="698E9647" w14:textId="77777777" w:rsidR="005E2342" w:rsidRDefault="005E2342">
      <w:pPr>
        <w:suppressAutoHyphens/>
        <w:rPr>
          <w:spacing w:val="-3"/>
        </w:rPr>
      </w:pPr>
    </w:p>
    <w:p w14:paraId="1E27FFC1" w14:textId="77777777" w:rsidR="005E2342" w:rsidRDefault="005E2342">
      <w:pPr>
        <w:suppressAutoHyphens/>
        <w:jc w:val="center"/>
        <w:rPr>
          <w:spacing w:val="-3"/>
        </w:rPr>
      </w:pPr>
      <w:proofErr w:type="gramStart"/>
      <w:r>
        <w:rPr>
          <w:b/>
          <w:spacing w:val="-3"/>
        </w:rPr>
        <w:t>Before</w:t>
      </w:r>
      <w:r>
        <w:rPr>
          <w:spacing w:val="-3"/>
        </w:rPr>
        <w:t xml:space="preserve"> :</w:t>
      </w:r>
      <w:proofErr w:type="gramEnd"/>
    </w:p>
    <w:p w14:paraId="7F8B6068" w14:textId="77777777" w:rsidR="005E2342" w:rsidRDefault="005E2342">
      <w:pPr>
        <w:suppressAutoHyphens/>
        <w:jc w:val="center"/>
        <w:rPr>
          <w:spacing w:val="-3"/>
        </w:rPr>
      </w:pPr>
    </w:p>
    <w:p w14:paraId="20FE790F" w14:textId="2EA861F2" w:rsidR="005E2342" w:rsidRDefault="00DA7F6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HOLGATE</w:t>
      </w:r>
    </w:p>
    <w:p w14:paraId="04A435E9" w14:textId="0410D805" w:rsidR="000E7AAC" w:rsidRDefault="000E7AA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MRS JUSTICE FARBEY</w:t>
      </w:r>
    </w:p>
    <w:p w14:paraId="5D76F0EA" w14:textId="77777777" w:rsidR="005E2342" w:rsidRDefault="005E2342">
      <w:pPr>
        <w:suppressAutoHyphens/>
        <w:jc w:val="center"/>
        <w:rPr>
          <w:spacing w:val="-3"/>
        </w:rPr>
      </w:pPr>
      <w:r>
        <w:rPr>
          <w:spacing w:val="-3"/>
        </w:rPr>
        <w:t>- - - - - - - - - - - - - - - - - - - - -</w:t>
      </w:r>
    </w:p>
    <w:p w14:paraId="37053140" w14:textId="77777777" w:rsidR="005E2342" w:rsidRDefault="005E2342">
      <w:pPr>
        <w:suppressAutoHyphens/>
        <w:jc w:val="center"/>
        <w:rPr>
          <w:b/>
          <w:spacing w:val="-3"/>
        </w:rPr>
      </w:pPr>
      <w:proofErr w:type="gramStart"/>
      <w:r>
        <w:rPr>
          <w:b/>
          <w:spacing w:val="-3"/>
        </w:rPr>
        <w:t>Between :</w:t>
      </w:r>
      <w:proofErr w:type="gramEnd"/>
    </w:p>
    <w:p w14:paraId="5D3F41D5"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74BB50EC" w14:textId="77777777" w:rsidTr="000E7AAC">
        <w:trPr>
          <w:jc w:val="center"/>
        </w:trPr>
        <w:tc>
          <w:tcPr>
            <w:tcW w:w="1776" w:type="dxa"/>
          </w:tcPr>
          <w:p w14:paraId="5ECD838F" w14:textId="77777777" w:rsidR="005E2342" w:rsidRDefault="005E2342">
            <w:pPr>
              <w:suppressAutoHyphens/>
              <w:rPr>
                <w:b/>
                <w:spacing w:val="-3"/>
              </w:rPr>
            </w:pPr>
          </w:p>
        </w:tc>
        <w:tc>
          <w:tcPr>
            <w:tcW w:w="5568" w:type="dxa"/>
          </w:tcPr>
          <w:p w14:paraId="0D3CF678" w14:textId="039C93A0" w:rsidR="005E2342" w:rsidRDefault="006A6893">
            <w:pPr>
              <w:suppressAutoHyphens/>
              <w:jc w:val="center"/>
              <w:rPr>
                <w:b/>
                <w:spacing w:val="-3"/>
              </w:rPr>
            </w:pPr>
            <w:r>
              <w:rPr>
                <w:b/>
                <w:spacing w:val="-3"/>
              </w:rPr>
              <w:t>THE KING (ON THE APPLICATION OF SHAUN THOMPSON AND SILKIE CARLO)</w:t>
            </w:r>
          </w:p>
        </w:tc>
        <w:tc>
          <w:tcPr>
            <w:tcW w:w="1782" w:type="dxa"/>
          </w:tcPr>
          <w:p w14:paraId="76C8142F" w14:textId="14D42ECB" w:rsidR="005E2342" w:rsidRDefault="00191E7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r w:rsidR="00092AEE">
              <w:t>s</w:t>
            </w:r>
          </w:p>
        </w:tc>
      </w:tr>
      <w:tr w:rsidR="005E2342" w14:paraId="01EAD4E1" w14:textId="77777777" w:rsidTr="000E7AAC">
        <w:trPr>
          <w:jc w:val="center"/>
        </w:trPr>
        <w:tc>
          <w:tcPr>
            <w:tcW w:w="1776" w:type="dxa"/>
          </w:tcPr>
          <w:p w14:paraId="511C65B2" w14:textId="77777777" w:rsidR="005E2342" w:rsidRDefault="005E2342">
            <w:pPr>
              <w:suppressAutoHyphens/>
              <w:rPr>
                <w:b/>
                <w:spacing w:val="-3"/>
              </w:rPr>
            </w:pPr>
          </w:p>
        </w:tc>
        <w:tc>
          <w:tcPr>
            <w:tcW w:w="5568" w:type="dxa"/>
          </w:tcPr>
          <w:p w14:paraId="49763029" w14:textId="77777777" w:rsidR="005E2342" w:rsidRDefault="005E2342">
            <w:pPr>
              <w:suppressAutoHyphens/>
              <w:jc w:val="center"/>
              <w:rPr>
                <w:b/>
                <w:spacing w:val="-3"/>
              </w:rPr>
            </w:pPr>
            <w:r>
              <w:rPr>
                <w:b/>
                <w:spacing w:val="-3"/>
              </w:rPr>
              <w:t>- and -</w:t>
            </w:r>
          </w:p>
        </w:tc>
        <w:tc>
          <w:tcPr>
            <w:tcW w:w="1782" w:type="dxa"/>
          </w:tcPr>
          <w:p w14:paraId="56226E35"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6CFD2D00" w14:textId="77777777" w:rsidTr="000E7AAC">
        <w:trPr>
          <w:jc w:val="center"/>
        </w:trPr>
        <w:tc>
          <w:tcPr>
            <w:tcW w:w="1776" w:type="dxa"/>
          </w:tcPr>
          <w:p w14:paraId="28F56540" w14:textId="77777777" w:rsidR="005E2342" w:rsidRDefault="005E2342">
            <w:pPr>
              <w:suppressAutoHyphens/>
              <w:rPr>
                <w:b/>
                <w:spacing w:val="-3"/>
              </w:rPr>
            </w:pPr>
          </w:p>
        </w:tc>
        <w:tc>
          <w:tcPr>
            <w:tcW w:w="5568" w:type="dxa"/>
          </w:tcPr>
          <w:p w14:paraId="693A13DA" w14:textId="03B533F8" w:rsidR="005E2342" w:rsidRDefault="006A6893">
            <w:pPr>
              <w:suppressAutoHyphens/>
              <w:jc w:val="center"/>
              <w:rPr>
                <w:b/>
                <w:spacing w:val="-3"/>
              </w:rPr>
            </w:pPr>
            <w:r>
              <w:rPr>
                <w:b/>
                <w:spacing w:val="-3"/>
              </w:rPr>
              <w:t>THE COMMISSIONER OF POLICE OF THE METROPOLIS</w:t>
            </w:r>
          </w:p>
        </w:tc>
        <w:tc>
          <w:tcPr>
            <w:tcW w:w="1782" w:type="dxa"/>
          </w:tcPr>
          <w:p w14:paraId="74188D99" w14:textId="77777777" w:rsidR="005E2342" w:rsidRDefault="00191E7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r w:rsidR="000E7AAC" w14:paraId="222E99AD" w14:textId="77777777" w:rsidTr="000E7AAC">
        <w:trPr>
          <w:jc w:val="center"/>
        </w:trPr>
        <w:tc>
          <w:tcPr>
            <w:tcW w:w="1776" w:type="dxa"/>
          </w:tcPr>
          <w:p w14:paraId="10CCB512" w14:textId="77777777" w:rsidR="000E7AAC" w:rsidRDefault="000E7AAC">
            <w:pPr>
              <w:suppressAutoHyphens/>
              <w:rPr>
                <w:b/>
                <w:spacing w:val="-3"/>
              </w:rPr>
            </w:pPr>
          </w:p>
        </w:tc>
        <w:tc>
          <w:tcPr>
            <w:tcW w:w="5568" w:type="dxa"/>
          </w:tcPr>
          <w:p w14:paraId="2C6AF1A4" w14:textId="77777777" w:rsidR="000E7AAC" w:rsidRDefault="000E7AAC">
            <w:pPr>
              <w:suppressAutoHyphens/>
              <w:jc w:val="center"/>
              <w:rPr>
                <w:b/>
                <w:spacing w:val="-3"/>
              </w:rPr>
            </w:pPr>
          </w:p>
          <w:p w14:paraId="184B3029" w14:textId="4B238325" w:rsidR="000E7AAC" w:rsidRDefault="000E7AAC">
            <w:pPr>
              <w:suppressAutoHyphens/>
              <w:jc w:val="center"/>
              <w:rPr>
                <w:b/>
                <w:spacing w:val="-3"/>
              </w:rPr>
            </w:pPr>
            <w:r>
              <w:rPr>
                <w:b/>
                <w:spacing w:val="-3"/>
              </w:rPr>
              <w:t>THE EQUALITY AND HUMAN RIGHTS COMMISSION</w:t>
            </w:r>
          </w:p>
        </w:tc>
        <w:tc>
          <w:tcPr>
            <w:tcW w:w="1782" w:type="dxa"/>
          </w:tcPr>
          <w:p w14:paraId="24FE4ED8" w14:textId="77777777" w:rsidR="000E7AAC" w:rsidRDefault="000E7AA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783465A" w14:textId="206A319E" w:rsidR="000E7AAC" w:rsidRDefault="000E7AA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Intervener</w:t>
            </w:r>
          </w:p>
        </w:tc>
      </w:tr>
    </w:tbl>
    <w:p w14:paraId="47B4541B" w14:textId="77777777" w:rsidR="005E2342" w:rsidRDefault="005E2342">
      <w:pPr>
        <w:suppressAutoHyphens/>
        <w:rPr>
          <w:b/>
          <w:spacing w:val="-3"/>
        </w:rPr>
      </w:pPr>
    </w:p>
    <w:p w14:paraId="6C0B7A6E" w14:textId="77777777" w:rsidR="005E2342" w:rsidRDefault="005E2342">
      <w:pPr>
        <w:suppressAutoHyphens/>
        <w:jc w:val="center"/>
        <w:rPr>
          <w:spacing w:val="-3"/>
        </w:rPr>
      </w:pPr>
      <w:r>
        <w:rPr>
          <w:spacing w:val="-3"/>
        </w:rPr>
        <w:t>- - - - - - - - - - - - - - - - - - - - -</w:t>
      </w:r>
    </w:p>
    <w:p w14:paraId="0F64BA03" w14:textId="77777777" w:rsidR="005E2342" w:rsidRDefault="005E2342">
      <w:pPr>
        <w:suppressAutoHyphens/>
        <w:jc w:val="center"/>
        <w:rPr>
          <w:spacing w:val="-3"/>
        </w:rPr>
      </w:pPr>
      <w:r>
        <w:rPr>
          <w:spacing w:val="-3"/>
        </w:rPr>
        <w:t>- - - - - - - - - - - - - - - - - - - - -</w:t>
      </w:r>
    </w:p>
    <w:p w14:paraId="2640B5DF" w14:textId="77777777" w:rsidR="005E2342" w:rsidRDefault="005E2342">
      <w:pPr>
        <w:suppressAutoHyphens/>
        <w:jc w:val="center"/>
        <w:rPr>
          <w:spacing w:val="-3"/>
        </w:rPr>
      </w:pPr>
    </w:p>
    <w:p w14:paraId="1B8DE902" w14:textId="641F5A30" w:rsidR="005E2342" w:rsidRDefault="006A6893">
      <w:pPr>
        <w:suppressAutoHyphens/>
        <w:jc w:val="center"/>
        <w:rPr>
          <w:b/>
          <w:spacing w:val="-3"/>
        </w:rPr>
      </w:pPr>
      <w:r>
        <w:rPr>
          <w:b/>
          <w:spacing w:val="-3"/>
        </w:rPr>
        <w:t>Dan Squires KC, Aidan Wills and Rosalind Comyn</w:t>
      </w:r>
      <w:r w:rsidR="005E2342">
        <w:rPr>
          <w:b/>
          <w:spacing w:val="-3"/>
        </w:rPr>
        <w:t xml:space="preserve"> </w:t>
      </w:r>
      <w:r w:rsidR="005E2342">
        <w:rPr>
          <w:bCs/>
          <w:spacing w:val="-3"/>
        </w:rPr>
        <w:t>(instructed by</w:t>
      </w:r>
      <w:r w:rsidR="005E2342">
        <w:rPr>
          <w:b/>
          <w:spacing w:val="-3"/>
        </w:rPr>
        <w:t xml:space="preserve"> </w:t>
      </w:r>
      <w:proofErr w:type="spellStart"/>
      <w:r>
        <w:rPr>
          <w:b/>
          <w:spacing w:val="-3"/>
        </w:rPr>
        <w:t>Bindmans</w:t>
      </w:r>
      <w:proofErr w:type="spellEnd"/>
      <w:r>
        <w:rPr>
          <w:b/>
          <w:spacing w:val="-3"/>
        </w:rPr>
        <w:t xml:space="preserve"> LLP</w:t>
      </w:r>
      <w:r w:rsidR="005E2342">
        <w:rPr>
          <w:bCs/>
          <w:spacing w:val="-3"/>
        </w:rPr>
        <w:t>) for the</w:t>
      </w:r>
      <w:r w:rsidR="005E2342">
        <w:rPr>
          <w:spacing w:val="-3"/>
        </w:rPr>
        <w:t xml:space="preserve"> </w:t>
      </w:r>
      <w:r>
        <w:rPr>
          <w:b/>
          <w:bCs/>
          <w:spacing w:val="-3"/>
        </w:rPr>
        <w:t>Claimant</w:t>
      </w:r>
      <w:r w:rsidR="00092AEE">
        <w:rPr>
          <w:b/>
          <w:bCs/>
          <w:spacing w:val="-3"/>
        </w:rPr>
        <w:t>s</w:t>
      </w:r>
    </w:p>
    <w:p w14:paraId="2E309FA9" w14:textId="38EDEFD9" w:rsidR="005E2342" w:rsidRDefault="006A6893">
      <w:pPr>
        <w:suppressAutoHyphens/>
        <w:jc w:val="center"/>
        <w:rPr>
          <w:b/>
          <w:spacing w:val="-3"/>
        </w:rPr>
      </w:pPr>
      <w:r>
        <w:rPr>
          <w:b/>
          <w:spacing w:val="-3"/>
        </w:rPr>
        <w:t>Anya Proops KC, Robert Talalay and Raphael Hogarth</w:t>
      </w:r>
      <w:r w:rsidR="005E2342">
        <w:rPr>
          <w:bCs/>
          <w:spacing w:val="-3"/>
        </w:rPr>
        <w:t xml:space="preserve"> (instructed by </w:t>
      </w:r>
      <w:r>
        <w:rPr>
          <w:b/>
          <w:spacing w:val="-3"/>
        </w:rPr>
        <w:t>Metropolitan Police Service</w:t>
      </w:r>
      <w:r w:rsidR="00943882">
        <w:rPr>
          <w:b/>
          <w:spacing w:val="-3"/>
        </w:rPr>
        <w:t>,</w:t>
      </w:r>
      <w:r>
        <w:rPr>
          <w:b/>
          <w:spacing w:val="-3"/>
        </w:rPr>
        <w:t xml:space="preserve"> Directorate of Legal Services</w:t>
      </w:r>
      <w:r w:rsidR="005E2342">
        <w:rPr>
          <w:bCs/>
          <w:spacing w:val="-3"/>
        </w:rPr>
        <w:t xml:space="preserve">) for the </w:t>
      </w:r>
      <w:r>
        <w:rPr>
          <w:b/>
          <w:spacing w:val="-3"/>
        </w:rPr>
        <w:t>Defendant</w:t>
      </w:r>
    </w:p>
    <w:p w14:paraId="28BF0CEF" w14:textId="21E06050" w:rsidR="000E7AAC" w:rsidRDefault="000E7AAC">
      <w:pPr>
        <w:suppressAutoHyphens/>
        <w:jc w:val="center"/>
        <w:rPr>
          <w:bCs/>
          <w:spacing w:val="-3"/>
        </w:rPr>
      </w:pPr>
      <w:r>
        <w:rPr>
          <w:b/>
          <w:spacing w:val="-3"/>
        </w:rPr>
        <w:t xml:space="preserve">Dee Masters and Joshua Jackson </w:t>
      </w:r>
      <w:r w:rsidRPr="000E7AAC">
        <w:rPr>
          <w:bCs/>
          <w:spacing w:val="-3"/>
        </w:rPr>
        <w:t>made written submissions for the</w:t>
      </w:r>
      <w:r>
        <w:rPr>
          <w:b/>
          <w:spacing w:val="-3"/>
        </w:rPr>
        <w:t xml:space="preserve"> Intervener</w:t>
      </w:r>
    </w:p>
    <w:p w14:paraId="1A69D723" w14:textId="77777777" w:rsidR="005E2342" w:rsidRDefault="005E2342">
      <w:pPr>
        <w:suppressAutoHyphens/>
        <w:jc w:val="center"/>
        <w:rPr>
          <w:b/>
          <w:spacing w:val="-3"/>
        </w:rPr>
      </w:pPr>
    </w:p>
    <w:p w14:paraId="696F0ACA" w14:textId="393D9851" w:rsidR="005E2342" w:rsidRDefault="005E2342">
      <w:pPr>
        <w:suppressAutoHyphens/>
        <w:jc w:val="center"/>
        <w:rPr>
          <w:spacing w:val="-3"/>
        </w:rPr>
      </w:pPr>
      <w:r>
        <w:rPr>
          <w:spacing w:val="-3"/>
        </w:rPr>
        <w:t>Hearing date</w:t>
      </w:r>
      <w:r w:rsidR="0030354F">
        <w:rPr>
          <w:spacing w:val="-3"/>
        </w:rPr>
        <w:t>s</w:t>
      </w:r>
      <w:r>
        <w:rPr>
          <w:spacing w:val="-3"/>
        </w:rPr>
        <w:t xml:space="preserve">: </w:t>
      </w:r>
      <w:r w:rsidR="006A6893">
        <w:rPr>
          <w:spacing w:val="-3"/>
        </w:rPr>
        <w:t>27-28 January 2026</w:t>
      </w:r>
    </w:p>
    <w:p w14:paraId="63FDE69C" w14:textId="77777777" w:rsidR="005E2342" w:rsidRDefault="005E2342">
      <w:pPr>
        <w:suppressAutoHyphens/>
        <w:jc w:val="center"/>
        <w:rPr>
          <w:spacing w:val="-3"/>
        </w:rPr>
      </w:pPr>
      <w:r>
        <w:rPr>
          <w:spacing w:val="-3"/>
        </w:rPr>
        <w:t>- - - - - - - - - - - - - - - - - - - - -</w:t>
      </w:r>
    </w:p>
    <w:p w14:paraId="49E03213" w14:textId="77777777" w:rsidR="00943882" w:rsidRDefault="00943882" w:rsidP="006A6893">
      <w:pPr>
        <w:pStyle w:val="CoverDesc"/>
      </w:pPr>
    </w:p>
    <w:p w14:paraId="1E84D8D9" w14:textId="43CDD138" w:rsidR="005E2342" w:rsidRDefault="006A6893" w:rsidP="006A6893">
      <w:pPr>
        <w:pStyle w:val="CoverDesc"/>
      </w:pPr>
      <w:r>
        <w:t>Approved Judgment</w:t>
      </w:r>
    </w:p>
    <w:p w14:paraId="151D53D3" w14:textId="77777777" w:rsidR="006A6893" w:rsidRDefault="006A6893" w:rsidP="006A6893">
      <w:pPr>
        <w:jc w:val="center"/>
      </w:pPr>
      <w:r>
        <w:t xml:space="preserve"> </w:t>
      </w:r>
    </w:p>
    <w:p w14:paraId="373166D0" w14:textId="6D8D53D4" w:rsidR="006A6893" w:rsidRDefault="006A6893" w:rsidP="006A6893">
      <w:pPr>
        <w:jc w:val="center"/>
      </w:pPr>
      <w:r>
        <w:t xml:space="preserve">This judgment was handed down remotely at </w:t>
      </w:r>
      <w:r w:rsidR="002F2079">
        <w:t>2pm</w:t>
      </w:r>
      <w:r>
        <w:t xml:space="preserve"> on </w:t>
      </w:r>
      <w:r w:rsidR="002F2079">
        <w:t>21 April 2026</w:t>
      </w:r>
      <w:r>
        <w:t xml:space="preserve"> by circulation to the parties or their representatives by e-mail and by release to the National Archives.</w:t>
      </w:r>
    </w:p>
    <w:p w14:paraId="6BE09D39" w14:textId="77777777" w:rsidR="006A6893" w:rsidRDefault="006A6893" w:rsidP="006A6893">
      <w:pPr>
        <w:jc w:val="center"/>
      </w:pPr>
    </w:p>
    <w:p w14:paraId="4E952576" w14:textId="77777777" w:rsidR="006A6893" w:rsidRDefault="006A6893" w:rsidP="006A6893">
      <w:pPr>
        <w:jc w:val="center"/>
      </w:pPr>
      <w:r>
        <w:t>.............................</w:t>
      </w:r>
    </w:p>
    <w:p w14:paraId="24EE7B3F" w14:textId="6E40B788" w:rsidR="006A6893" w:rsidRPr="006A6893" w:rsidRDefault="006A6893" w:rsidP="006A6893">
      <w:pPr>
        <w:jc w:val="center"/>
      </w:pPr>
    </w:p>
    <w:p w14:paraId="697FBF11" w14:textId="77777777" w:rsidR="005E2342" w:rsidRDefault="005E2342">
      <w:pPr>
        <w:pStyle w:val="CoverDesc"/>
        <w:rPr>
          <w:sz w:val="24"/>
        </w:rPr>
      </w:pPr>
    </w:p>
    <w:p w14:paraId="6260CA5C" w14:textId="77777777" w:rsidR="005E2342" w:rsidRDefault="005E2342" w:rsidP="00532427">
      <w:pPr>
        <w:jc w:val="center"/>
        <w:sectPr w:rsidR="005E2342">
          <w:footerReference w:type="default" r:id="rId9"/>
          <w:pgSz w:w="11909" w:h="16834" w:code="9"/>
          <w:pgMar w:top="720" w:right="1440" w:bottom="720" w:left="1440" w:header="720" w:footer="720" w:gutter="0"/>
          <w:pgNumType w:start="1"/>
          <w:cols w:space="720"/>
        </w:sectPr>
      </w:pPr>
    </w:p>
    <w:p w14:paraId="36401D17" w14:textId="4727E196" w:rsidR="005E2342" w:rsidRDefault="005A7E30">
      <w:pPr>
        <w:spacing w:after="240"/>
      </w:pPr>
      <w:r>
        <w:rPr>
          <w:b/>
        </w:rPr>
        <w:lastRenderedPageBreak/>
        <w:t xml:space="preserve">Lord Justice Holgate and Mrs Justice </w:t>
      </w:r>
      <w:proofErr w:type="gramStart"/>
      <w:r>
        <w:rPr>
          <w:b/>
        </w:rPr>
        <w:t>Farbey</w:t>
      </w:r>
      <w:r w:rsidR="005E2342">
        <w:rPr>
          <w:b/>
        </w:rPr>
        <w:t xml:space="preserve"> :</w:t>
      </w:r>
      <w:proofErr w:type="gramEnd"/>
      <w:r w:rsidR="005E2342">
        <w:t xml:space="preserve"> </w:t>
      </w:r>
    </w:p>
    <w:p w14:paraId="54A8C3E3" w14:textId="2CD9DED2" w:rsidR="005E2342" w:rsidRDefault="005E2342">
      <w:pPr>
        <w:pStyle w:val="ParaHeading"/>
        <w:sectPr w:rsidR="005E2342">
          <w:headerReference w:type="default" r:id="rId10"/>
          <w:footerReference w:type="default" r:id="rId11"/>
          <w:pgSz w:w="11909" w:h="16834" w:code="9"/>
          <w:pgMar w:top="1440" w:right="1440" w:bottom="1440" w:left="1440" w:header="709" w:footer="709" w:gutter="0"/>
          <w:cols w:space="720"/>
          <w:formProt w:val="0"/>
        </w:sectPr>
      </w:pPr>
    </w:p>
    <w:p w14:paraId="696FAEB5" w14:textId="126AFC25" w:rsidR="005E2342" w:rsidRPr="00191E7E" w:rsidRDefault="00191E7E" w:rsidP="002F2079">
      <w:pPr>
        <w:pStyle w:val="ParaLevel1"/>
        <w:numPr>
          <w:ilvl w:val="0"/>
          <w:numId w:val="0"/>
        </w:numPr>
        <w:rPr>
          <w:b/>
          <w:bCs/>
        </w:rPr>
      </w:pPr>
      <w:r w:rsidRPr="00191E7E">
        <w:rPr>
          <w:b/>
          <w:bCs/>
        </w:rPr>
        <w:t>Introduction</w:t>
      </w:r>
    </w:p>
    <w:p w14:paraId="1C233EBE" w14:textId="3B3D8A3B" w:rsidR="00191E7E" w:rsidRDefault="00191E7E" w:rsidP="002F2079">
      <w:pPr>
        <w:pStyle w:val="ParaLevel1"/>
      </w:pPr>
      <w:r>
        <w:t xml:space="preserve">This claim challenges the legality of the </w:t>
      </w:r>
      <w:r w:rsidR="00AE3F24">
        <w:t>p</w:t>
      </w:r>
      <w:r>
        <w:t>olicy of the defendant, the Commissioner of Police of the Metropolis</w:t>
      </w:r>
      <w:r w:rsidR="00EC617E">
        <w:t>,</w:t>
      </w:r>
      <w:r>
        <w:t xml:space="preserve"> adopted on 11 September 2024 in relation to the deployment in London of live facial recognition technology (“LFR”). The policy is entitled “MPS Overt LFR Policy Document” (“the </w:t>
      </w:r>
      <w:r w:rsidR="00AE3F24">
        <w:t>P</w:t>
      </w:r>
      <w:r>
        <w:t>olicy”).</w:t>
      </w:r>
    </w:p>
    <w:p w14:paraId="3353DF46" w14:textId="372E060F" w:rsidR="00191E7E" w:rsidRDefault="00191E7E" w:rsidP="002F2079">
      <w:pPr>
        <w:pStyle w:val="ParaLevel1"/>
      </w:pPr>
      <w:r>
        <w:t xml:space="preserve">LFR is seen by the defendant and other police forces as a powerful tool for the prevention and detection of crime, finding missing persons and the protection of the public. It involves the use of cameras, which are generally moveable rather than fixed, to capture the images of members of the public in a public location. The facial features of individuals are expressed as unique </w:t>
      </w:r>
      <w:r w:rsidR="00EC617E">
        <w:t xml:space="preserve">biometric or </w:t>
      </w:r>
      <w:r>
        <w:t xml:space="preserve">numerical values. The software then compares those values with the biometric details of </w:t>
      </w:r>
      <w:proofErr w:type="gramStart"/>
      <w:r>
        <w:t>a number of</w:t>
      </w:r>
      <w:proofErr w:type="gramEnd"/>
      <w:r>
        <w:t xml:space="preserve"> persons sought by the police to see whether they achieve </w:t>
      </w:r>
      <w:r w:rsidR="00EC617E">
        <w:t xml:space="preserve">a </w:t>
      </w:r>
      <w:r>
        <w:t>pre-set score indicat</w:t>
      </w:r>
      <w:r w:rsidR="003D07CE">
        <w:t>ing</w:t>
      </w:r>
      <w:r>
        <w:t xml:space="preserve"> the</w:t>
      </w:r>
      <w:r w:rsidR="003D07CE">
        <w:t xml:space="preserve"> required</w:t>
      </w:r>
      <w:r>
        <w:t xml:space="preserve"> likelihood of a positive match.</w:t>
      </w:r>
    </w:p>
    <w:p w14:paraId="04607A85" w14:textId="36439AF1" w:rsidR="00191E7E" w:rsidRDefault="00191E7E" w:rsidP="002F2079">
      <w:pPr>
        <w:pStyle w:val="ParaLevel1"/>
      </w:pPr>
      <w:r>
        <w:t>If there is no match</w:t>
      </w:r>
      <w:r w:rsidR="00081EEF">
        <w:t>,</w:t>
      </w:r>
      <w:r>
        <w:t xml:space="preserve"> the </w:t>
      </w:r>
      <w:r w:rsidR="00F93635">
        <w:t xml:space="preserve">biometric data </w:t>
      </w:r>
      <w:r>
        <w:t xml:space="preserve">of the member of the public </w:t>
      </w:r>
      <w:r w:rsidR="00E05BB4">
        <w:t xml:space="preserve">is </w:t>
      </w:r>
      <w:r>
        <w:t>automatically and immediately deleted.</w:t>
      </w:r>
      <w:r w:rsidR="00357B3B">
        <w:t xml:space="preserve"> Any facial images </w:t>
      </w:r>
      <w:r w:rsidR="00A21539">
        <w:t xml:space="preserve">detected by the system which have not been matched are blurred in the images </w:t>
      </w:r>
      <w:r w:rsidR="005739A6">
        <w:t>visible to officers</w:t>
      </w:r>
      <w:r>
        <w:t xml:space="preserve">. But if the biometrics </w:t>
      </w:r>
      <w:r w:rsidR="003D07CE">
        <w:t xml:space="preserve">do </w:t>
      </w:r>
      <w:r>
        <w:t>match</w:t>
      </w:r>
      <w:r w:rsidR="003D07CE">
        <w:t>,</w:t>
      </w:r>
      <w:r>
        <w:t xml:space="preserve"> an alert is created and the two images to which the data relates </w:t>
      </w:r>
      <w:r w:rsidR="003D07CE">
        <w:t>are</w:t>
      </w:r>
      <w:r>
        <w:t xml:space="preserve"> examined by officers to decide what if any action to take. The technology </w:t>
      </w:r>
      <w:proofErr w:type="gramStart"/>
      <w:r>
        <w:t>is capable of scanning</w:t>
      </w:r>
      <w:proofErr w:type="gramEnd"/>
      <w:r>
        <w:t xml:space="preserve"> a substantial number of faces per second and a very large number over the course of a deployment. </w:t>
      </w:r>
    </w:p>
    <w:p w14:paraId="514BF7A1" w14:textId="24FFA467" w:rsidR="00191E7E" w:rsidRDefault="00191E7E" w:rsidP="002F2079">
      <w:pPr>
        <w:pStyle w:val="ParaLevel1"/>
      </w:pPr>
      <w:r>
        <w:t>The claimants do not c</w:t>
      </w:r>
      <w:r w:rsidR="003D07CE">
        <w:t>ontend</w:t>
      </w:r>
      <w:r>
        <w:t xml:space="preserve"> that the use of LFR is unlawful as a matter of principle</w:t>
      </w:r>
      <w:r w:rsidR="0089707D">
        <w:t>,</w:t>
      </w:r>
      <w:r>
        <w:t xml:space="preserve"> or in all circumstances. However, they submit that the use of LFR gives rise to “significant civil liberty concerns” which have become great</w:t>
      </w:r>
      <w:r w:rsidR="0089707D">
        <w:t>er</w:t>
      </w:r>
      <w:r>
        <w:t xml:space="preserve"> with the increased deployment of LFR over the last few years.</w:t>
      </w:r>
      <w:r w:rsidR="00D86F30">
        <w:t xml:space="preserve"> They rely upon </w:t>
      </w:r>
      <w:proofErr w:type="gramStart"/>
      <w:r w:rsidR="00D86F30">
        <w:t>a number of</w:t>
      </w:r>
      <w:proofErr w:type="gramEnd"/>
      <w:r w:rsidR="00D86F30">
        <w:t xml:space="preserve"> matters</w:t>
      </w:r>
      <w:r w:rsidR="00BD2985">
        <w:t>.</w:t>
      </w:r>
      <w:r w:rsidR="00D86F30">
        <w:t xml:space="preserve"> </w:t>
      </w:r>
      <w:r>
        <w:t xml:space="preserve">LFR involves the extraction of a person’s biometric data, a </w:t>
      </w:r>
      <w:r w:rsidR="00092AEE">
        <w:t>key</w:t>
      </w:r>
      <w:r>
        <w:t xml:space="preserve"> attribute of an individual </w:t>
      </w:r>
      <w:r w:rsidR="0089707D">
        <w:t>given</w:t>
      </w:r>
      <w:r>
        <w:t xml:space="preserve"> its unique characteristics</w:t>
      </w:r>
      <w:r w:rsidR="00C14DEC">
        <w:t>.</w:t>
      </w:r>
      <w:r>
        <w:t xml:space="preserve"> LFR can be deployed without the consent</w:t>
      </w:r>
      <w:r w:rsidR="00D86F30">
        <w:t xml:space="preserve"> </w:t>
      </w:r>
      <w:r>
        <w:t>or knowledge of the persons involved</w:t>
      </w:r>
      <w:r w:rsidR="00D86F30">
        <w:t xml:space="preserve">, </w:t>
      </w:r>
      <w:r>
        <w:t>on</w:t>
      </w:r>
      <w:r w:rsidR="00D86F30">
        <w:t xml:space="preserve"> a</w:t>
      </w:r>
      <w:r>
        <w:t xml:space="preserve"> large scale </w:t>
      </w:r>
      <w:r w:rsidR="00D86F30">
        <w:t>or</w:t>
      </w:r>
      <w:r>
        <w:t xml:space="preserve"> in crowded locations. The overwhelming majority of persons whose facial biometrics are captured and processed are not suspected of any wrongdoing and are not otherwise persons for whom the police are looking. There is a risk of false identification which may </w:t>
      </w:r>
      <w:r w:rsidR="00D86F30">
        <w:t>result in</w:t>
      </w:r>
      <w:r>
        <w:t xml:space="preserve"> intrusive questioning to establish identity.</w:t>
      </w:r>
    </w:p>
    <w:p w14:paraId="6C447D4D" w14:textId="033B2BBF" w:rsidR="00191E7E" w:rsidRDefault="00191E7E" w:rsidP="002F2079">
      <w:pPr>
        <w:pStyle w:val="ParaLevel1"/>
      </w:pPr>
      <w:r>
        <w:t>However, it is important to emphasise that neither th</w:t>
      </w:r>
      <w:r w:rsidR="0089707D">
        <w:t>is case,</w:t>
      </w:r>
      <w:r>
        <w:t xml:space="preserve"> nor this court</w:t>
      </w:r>
      <w:r w:rsidR="00BB0CF9">
        <w:t>,</w:t>
      </w:r>
      <w:r>
        <w:t xml:space="preserve"> </w:t>
      </w:r>
      <w:r w:rsidR="0089707D">
        <w:t>is</w:t>
      </w:r>
      <w:r>
        <w:t xml:space="preserve"> concerned with the merits and demerits of the use by the Metropolitan Police</w:t>
      </w:r>
      <w:r w:rsidR="0085559C">
        <w:t xml:space="preserve"> Service (“MPS”)</w:t>
      </w:r>
      <w:r>
        <w:t xml:space="preserve">, or other police forces, of LFR. Judicial review is simply the means of ensuring that public bodies act within the limits of their legal powers, and in accordance with the Human Rights </w:t>
      </w:r>
      <w:r w:rsidR="00155F47">
        <w:t>Act 1998</w:t>
      </w:r>
      <w:r w:rsidR="00A20990">
        <w:t>, as well as</w:t>
      </w:r>
      <w:r w:rsidR="00155F47">
        <w:t xml:space="preserve"> any relevant procedures and legal principles governing the exercise of their </w:t>
      </w:r>
      <w:r w:rsidR="00E66FF1">
        <w:t>decision-making</w:t>
      </w:r>
      <w:r w:rsidR="00155F47">
        <w:t xml:space="preserve"> functions. The role of the court is concerned with resolving questions of law. It is not responsible for making political, social or economic choices, or in this case policy decisions</w:t>
      </w:r>
      <w:r w:rsidR="008E0ABC">
        <w:t>,</w:t>
      </w:r>
      <w:r w:rsidR="00155F47">
        <w:t xml:space="preserve"> on how the police carry out their functions. Such decisions are ones that Parliament, or the common law, has entrusted to the relevant public authorities, not the court. The court is only concerned with the legal issues which the claimant is entitled to raise in these proceedings.</w:t>
      </w:r>
    </w:p>
    <w:p w14:paraId="75120C26" w14:textId="4F55F183" w:rsidR="00155F47" w:rsidRDefault="00155F47" w:rsidP="002F2079">
      <w:pPr>
        <w:pStyle w:val="ParaLevel1"/>
      </w:pPr>
      <w:r>
        <w:t>The claimants conten</w:t>
      </w:r>
      <w:r w:rsidR="00A20990">
        <w:t>d</w:t>
      </w:r>
      <w:r>
        <w:t xml:space="preserve"> firstly</w:t>
      </w:r>
      <w:r w:rsidR="00A20990">
        <w:t>,</w:t>
      </w:r>
      <w:r>
        <w:t xml:space="preserve"> that the </w:t>
      </w:r>
      <w:r w:rsidR="00AE3F24">
        <w:t>P</w:t>
      </w:r>
      <w:r>
        <w:t>olicy violates Article 8 of the European Convention of Human Rights (“ECHR”), in that, contrary to Art</w:t>
      </w:r>
      <w:r w:rsidR="00372DA3">
        <w:t xml:space="preserve">icle </w:t>
      </w:r>
      <w:r>
        <w:t xml:space="preserve">8(2), it allows </w:t>
      </w:r>
      <w:r>
        <w:lastRenderedPageBreak/>
        <w:t xml:space="preserve">“interference” with the “right to respect for private and family life” by the use of LFR which is not “in accordance with the law” </w:t>
      </w:r>
      <w:r w:rsidR="00734BE7">
        <w:t xml:space="preserve"> (“IAWL”). This was the first ground of challenge argued at the hearing before us (“ground 1”).</w:t>
      </w:r>
    </w:p>
    <w:p w14:paraId="43493327" w14:textId="18E54FDE" w:rsidR="00734BE7" w:rsidRDefault="00734BE7" w:rsidP="002F2079">
      <w:pPr>
        <w:pStyle w:val="ParaLevel1"/>
      </w:pPr>
      <w:r>
        <w:t xml:space="preserve">Secondly, the claimants contend that the </w:t>
      </w:r>
      <w:r w:rsidR="00AE3F24">
        <w:t>Policy</w:t>
      </w:r>
      <w:r>
        <w:t xml:space="preserve"> violates Art</w:t>
      </w:r>
      <w:r w:rsidR="00372DA3">
        <w:t xml:space="preserve">icles </w:t>
      </w:r>
      <w:r>
        <w:t>10 and 11 of the ECHR in that, contrary to Art</w:t>
      </w:r>
      <w:r w:rsidR="00372DA3">
        <w:t>icle</w:t>
      </w:r>
      <w:r w:rsidR="00A777D2">
        <w:t xml:space="preserve"> </w:t>
      </w:r>
      <w:r>
        <w:t>10(2) and Art</w:t>
      </w:r>
      <w:r w:rsidR="00372DA3">
        <w:t xml:space="preserve">icle </w:t>
      </w:r>
      <w:r>
        <w:t xml:space="preserve">11(2), it allows “restrictions” upon the “freedom of expression” and the “freedom of assembly and association” </w:t>
      </w:r>
      <w:proofErr w:type="gramStart"/>
      <w:r>
        <w:t>by the use of</w:t>
      </w:r>
      <w:proofErr w:type="gramEnd"/>
      <w:r>
        <w:t xml:space="preserve"> LFR which </w:t>
      </w:r>
      <w:r w:rsidR="00D84307">
        <w:t>is</w:t>
      </w:r>
      <w:r>
        <w:t xml:space="preserve"> not “prescribed by law” (“PBL”). This was the second ground a</w:t>
      </w:r>
      <w:r w:rsidR="0018698D">
        <w:t>rgu</w:t>
      </w:r>
      <w:r>
        <w:t>ed at the hearing before us (“ground 2”).</w:t>
      </w:r>
    </w:p>
    <w:p w14:paraId="09C87813" w14:textId="1290FB19" w:rsidR="00F06F38" w:rsidRDefault="00F06F38" w:rsidP="002F2079">
      <w:pPr>
        <w:pStyle w:val="ParaLevel1"/>
      </w:pPr>
      <w:r>
        <w:t>It is common ground between the parties that</w:t>
      </w:r>
      <w:r w:rsidR="007875AE">
        <w:t xml:space="preserve"> in the present case</w:t>
      </w:r>
      <w:r>
        <w:t xml:space="preserve"> whether the </w:t>
      </w:r>
      <w:r w:rsidR="00AE3F24">
        <w:t>Policy</w:t>
      </w:r>
      <w:r w:rsidR="007875AE">
        <w:t xml:space="preserve"> is IAWL raises the same issues as whether it is also PBL.  </w:t>
      </w:r>
      <w:r w:rsidR="00F8099C">
        <w:t>The court’s conclusion on the IAWL issue, either way, will also hold good for the PBL issue.</w:t>
      </w:r>
    </w:p>
    <w:p w14:paraId="734F1212" w14:textId="780360F3" w:rsidR="00734BE7" w:rsidRDefault="00D86F30" w:rsidP="002F2079">
      <w:pPr>
        <w:pStyle w:val="ParaLevel1"/>
      </w:pPr>
      <w:r>
        <w:t>M</w:t>
      </w:r>
      <w:r w:rsidR="00AE3F24">
        <w:t>r</w:t>
      </w:r>
      <w:r w:rsidR="00734BE7">
        <w:t xml:space="preserve"> Dan Squires KC who, together with </w:t>
      </w:r>
      <w:r>
        <w:t>M</w:t>
      </w:r>
      <w:r w:rsidR="00AE3F24">
        <w:t>r</w:t>
      </w:r>
      <w:r w:rsidR="00734BE7">
        <w:t xml:space="preserve"> Aidan Wills and </w:t>
      </w:r>
      <w:r w:rsidR="00FC5ABD">
        <w:t>Ms</w:t>
      </w:r>
      <w:r w:rsidR="00734BE7">
        <w:t xml:space="preserve"> Rosalind Comyn, appeared for the claimants, stated that grounds 1 and 2 </w:t>
      </w:r>
      <w:r w:rsidR="009C6E4A">
        <w:t>advance</w:t>
      </w:r>
      <w:r w:rsidR="00734BE7">
        <w:t xml:space="preserve"> essentially the same </w:t>
      </w:r>
      <w:r w:rsidR="009C6E4A">
        <w:t>contentions</w:t>
      </w:r>
      <w:r w:rsidR="00734BE7">
        <w:t xml:space="preserve"> in relation to Art</w:t>
      </w:r>
      <w:r w:rsidR="00FC4481">
        <w:t xml:space="preserve">icles </w:t>
      </w:r>
      <w:r w:rsidR="00734BE7">
        <w:t>8,</w:t>
      </w:r>
      <w:r w:rsidR="003B24DC">
        <w:t xml:space="preserve"> </w:t>
      </w:r>
      <w:r w:rsidR="00734BE7">
        <w:t xml:space="preserve">10 and 11, namely whether the </w:t>
      </w:r>
      <w:r w:rsidR="00AE3F24">
        <w:t>Policy</w:t>
      </w:r>
      <w:r w:rsidR="00734BE7">
        <w:t xml:space="preserve"> </w:t>
      </w:r>
      <w:r w:rsidR="000B1601">
        <w:t xml:space="preserve">leaves too much discretion to </w:t>
      </w:r>
      <w:r w:rsidR="0057525E">
        <w:t>individual officers within the MPS to have the quality of “law.”</w:t>
      </w:r>
      <w:r w:rsidR="00734BE7">
        <w:t xml:space="preserve"> In that regard, the claimants accept that the defendant has the legal power to use LFR and to adopt a policy for its deployment.</w:t>
      </w:r>
    </w:p>
    <w:p w14:paraId="37460F39" w14:textId="2CD85B0A" w:rsidR="00734BE7" w:rsidRDefault="004A1152" w:rsidP="002F2079">
      <w:pPr>
        <w:pStyle w:val="ParaLevel1"/>
      </w:pPr>
      <w:r>
        <w:t>We should at this stage note that</w:t>
      </w:r>
      <w:r w:rsidR="00D915FC">
        <w:t xml:space="preserve"> some of the </w:t>
      </w:r>
      <w:r>
        <w:t xml:space="preserve">authorities cited to us </w:t>
      </w:r>
      <w:r w:rsidR="00092AEE">
        <w:t xml:space="preserve">use the expression </w:t>
      </w:r>
      <w:r w:rsidR="00D33207">
        <w:t>“</w:t>
      </w:r>
      <w:r w:rsidR="00092AEE">
        <w:t xml:space="preserve">the </w:t>
      </w:r>
      <w:r w:rsidR="00D33207">
        <w:t xml:space="preserve">legality principle” </w:t>
      </w:r>
      <w:r w:rsidR="00092AEE">
        <w:t xml:space="preserve">to refer </w:t>
      </w:r>
      <w:proofErr w:type="gramStart"/>
      <w:r w:rsidR="00092AEE">
        <w:t xml:space="preserve">to </w:t>
      </w:r>
      <w:r w:rsidR="00AE0148">
        <w:t xml:space="preserve"> </w:t>
      </w:r>
      <w:r w:rsidR="00092AEE">
        <w:t>“</w:t>
      </w:r>
      <w:proofErr w:type="gramEnd"/>
      <w:r w:rsidR="00AE0148">
        <w:t xml:space="preserve">the </w:t>
      </w:r>
      <w:r w:rsidR="00D33207">
        <w:t>quality of law</w:t>
      </w:r>
      <w:r w:rsidR="00D915FC">
        <w:t>”</w:t>
      </w:r>
      <w:r w:rsidR="00F87B3A">
        <w:t xml:space="preserve"> </w:t>
      </w:r>
      <w:r w:rsidR="00092AEE">
        <w:t>requirement.</w:t>
      </w:r>
      <w:r w:rsidR="00F87B3A">
        <w:t xml:space="preserve"> </w:t>
      </w:r>
      <w:r w:rsidR="00A640D7">
        <w:t>Irrespective of nomenclature, w</w:t>
      </w:r>
      <w:r w:rsidR="00F87B3A">
        <w:t xml:space="preserve">e are concerned </w:t>
      </w:r>
      <w:r w:rsidR="00A640D7">
        <w:t xml:space="preserve">with </w:t>
      </w:r>
      <w:r w:rsidR="00B10B02">
        <w:t xml:space="preserve"> the principle derived from the caselaw of the </w:t>
      </w:r>
      <w:r w:rsidR="00F91C87">
        <w:t>ECHR</w:t>
      </w:r>
      <w:r w:rsidR="00E8780B">
        <w:t>,</w:t>
      </w:r>
      <w:r w:rsidR="000C2A58">
        <w:t xml:space="preserve"> </w:t>
      </w:r>
      <w:r w:rsidR="00E8780B">
        <w:t xml:space="preserve">and applied in the domestic cases, </w:t>
      </w:r>
      <w:r w:rsidR="000C2A58">
        <w:t xml:space="preserve">that </w:t>
      </w:r>
      <w:r w:rsidR="00734BE7">
        <w:t xml:space="preserve">a measure, such as the </w:t>
      </w:r>
      <w:r w:rsidR="00AE3F24">
        <w:t>Policy</w:t>
      </w:r>
      <w:r w:rsidR="00734BE7">
        <w:t xml:space="preserve">, </w:t>
      </w:r>
      <w:r w:rsidR="00922FFB">
        <w:t xml:space="preserve">must have </w:t>
      </w:r>
      <w:r w:rsidR="00734BE7">
        <w:t>the “quality of law</w:t>
      </w:r>
      <w:r w:rsidR="00071EC9">
        <w:t>” in the sense that</w:t>
      </w:r>
      <w:r w:rsidR="003A2DFB">
        <w:t xml:space="preserve"> </w:t>
      </w:r>
      <w:r w:rsidR="00734BE7">
        <w:t>it must be accessible to the persons concerned, foreseeable as to its consequences and compatible with the rule of law (</w:t>
      </w:r>
      <w:proofErr w:type="spellStart"/>
      <w:r w:rsidR="00734BE7" w:rsidRPr="00734C52">
        <w:rPr>
          <w:i/>
          <w:iCs/>
        </w:rPr>
        <w:t>Huvig</w:t>
      </w:r>
      <w:proofErr w:type="spellEnd"/>
      <w:r w:rsidR="00734BE7" w:rsidRPr="00734C52">
        <w:rPr>
          <w:i/>
          <w:iCs/>
        </w:rPr>
        <w:t xml:space="preserve"> v </w:t>
      </w:r>
      <w:r w:rsidR="00943882">
        <w:rPr>
          <w:i/>
          <w:iCs/>
        </w:rPr>
        <w:t xml:space="preserve">France </w:t>
      </w:r>
      <w:r w:rsidR="00943882">
        <w:t>(1990) 1</w:t>
      </w:r>
      <w:r w:rsidR="00734BE7">
        <w:t>2 EHRR 5</w:t>
      </w:r>
      <w:r w:rsidR="00943882">
        <w:t>28</w:t>
      </w:r>
      <w:r w:rsidR="00734BE7">
        <w:t xml:space="preserve"> and </w:t>
      </w:r>
      <w:proofErr w:type="spellStart"/>
      <w:r w:rsidR="00734BE7" w:rsidRPr="00734C52">
        <w:rPr>
          <w:i/>
          <w:iCs/>
        </w:rPr>
        <w:t>Kruslin</w:t>
      </w:r>
      <w:proofErr w:type="spellEnd"/>
      <w:r w:rsidR="00734BE7" w:rsidRPr="00734C52">
        <w:rPr>
          <w:i/>
          <w:iCs/>
        </w:rPr>
        <w:t xml:space="preserve"> v France</w:t>
      </w:r>
      <w:r w:rsidR="00734BE7">
        <w:t xml:space="preserve"> </w:t>
      </w:r>
      <w:r w:rsidR="00943882">
        <w:t xml:space="preserve">(1990) </w:t>
      </w:r>
      <w:r w:rsidR="00734BE7">
        <w:t>12 EHRR 5</w:t>
      </w:r>
      <w:r w:rsidR="00943882">
        <w:t>4</w:t>
      </w:r>
      <w:r w:rsidR="00734BE7">
        <w:t>7</w:t>
      </w:r>
      <w:r w:rsidR="001845C7">
        <w:t>,</w:t>
      </w:r>
      <w:r w:rsidR="00734BE7">
        <w:t xml:space="preserve"> applied by the Supreme Court </w:t>
      </w:r>
      <w:r w:rsidR="0018698D">
        <w:t xml:space="preserve">in </w:t>
      </w:r>
      <w:r w:rsidR="00734BE7" w:rsidRPr="00734C52">
        <w:rPr>
          <w:i/>
          <w:iCs/>
        </w:rPr>
        <w:t>In Re Gallagher</w:t>
      </w:r>
      <w:r w:rsidR="00734BE7">
        <w:t xml:space="preserve"> [2019] UKSC 3; [2020] AC 185 at [14]).</w:t>
      </w:r>
      <w:r w:rsidR="009D0512">
        <w:rPr>
          <w:rStyle w:val="FootnoteReference"/>
        </w:rPr>
        <w:footnoteReference w:id="1"/>
      </w:r>
    </w:p>
    <w:p w14:paraId="5EA869B8" w14:textId="09444D83" w:rsidR="00F340A9" w:rsidRPr="004C45BB" w:rsidRDefault="00F340A9" w:rsidP="002F2079">
      <w:pPr>
        <w:pStyle w:val="ParaLevel1"/>
      </w:pPr>
      <w:r>
        <w:t xml:space="preserve">There is no issue in the present case about the accessibility of the </w:t>
      </w:r>
      <w:r w:rsidR="00AE3F24">
        <w:t>Policy</w:t>
      </w:r>
      <w:r>
        <w:t>. It has been published</w:t>
      </w:r>
      <w:r w:rsidR="00900B60">
        <w:t xml:space="preserve"> and </w:t>
      </w:r>
      <w:r w:rsidR="00092AEE">
        <w:t>it</w:t>
      </w:r>
      <w:r w:rsidR="003B78C7">
        <w:t xml:space="preserve"> </w:t>
      </w:r>
      <w:r w:rsidR="00900B60">
        <w:t>is comprehensible. The contrary has not been suggested</w:t>
      </w:r>
      <w:r w:rsidR="00AF7E64">
        <w:t>.</w:t>
      </w:r>
    </w:p>
    <w:p w14:paraId="4B7239A2" w14:textId="6F51F5DE" w:rsidR="00F340A9" w:rsidRDefault="00F340A9" w:rsidP="002F2079">
      <w:pPr>
        <w:pStyle w:val="ParaLevel1"/>
      </w:pPr>
      <w:r>
        <w:t xml:space="preserve">The central issue in this case relates to foreseeability. </w:t>
      </w:r>
      <w:r w:rsidR="00D86F30">
        <w:t>M</w:t>
      </w:r>
      <w:r w:rsidR="00AE3F24">
        <w:t>r</w:t>
      </w:r>
      <w:r>
        <w:t xml:space="preserve"> Squires frequently submitted that the </w:t>
      </w:r>
      <w:r w:rsidR="00AE3F24">
        <w:t>Policy</w:t>
      </w:r>
      <w:r>
        <w:t xml:space="preserve"> (or rather certain parts of the </w:t>
      </w:r>
      <w:r w:rsidR="00AE3F24">
        <w:t>Policy</w:t>
      </w:r>
      <w:r>
        <w:t xml:space="preserve">) confers too broad a discretion on individual police officers when deciding on whether and </w:t>
      </w:r>
      <w:r w:rsidR="00165A97">
        <w:t xml:space="preserve">where </w:t>
      </w:r>
      <w:r>
        <w:t xml:space="preserve">to deploy LFR. But this turned out to be a form of shorthand. </w:t>
      </w:r>
      <w:r w:rsidRPr="001845C7">
        <w:t>He</w:t>
      </w:r>
      <w:r w:rsidR="001845C7">
        <w:t xml:space="preserve"> </w:t>
      </w:r>
      <w:r>
        <w:t xml:space="preserve">accepted that the appropriate test is that stated by Lord Sumption JSC in </w:t>
      </w:r>
      <w:r w:rsidRPr="00F340A9">
        <w:rPr>
          <w:i/>
          <w:iCs/>
        </w:rPr>
        <w:t>Gallagher</w:t>
      </w:r>
      <w:r>
        <w:t xml:space="preserve"> at [17]</w:t>
      </w:r>
      <w:r w:rsidR="00DC3889">
        <w:t>:</w:t>
      </w:r>
    </w:p>
    <w:p w14:paraId="519AB458" w14:textId="1460C73F" w:rsidR="00F340A9" w:rsidRDefault="00F340A9" w:rsidP="002F2079">
      <w:pPr>
        <w:pStyle w:val="Quote"/>
      </w:pPr>
      <w:r>
        <w:t>“The measure must not confer a discretion so broad that its scope is in practice dependent on the will of those who apply it, rather than on the law itself”.</w:t>
      </w:r>
    </w:p>
    <w:p w14:paraId="27FD6D9B" w14:textId="4D828DD4" w:rsidR="00F340A9" w:rsidRDefault="00F340A9" w:rsidP="002F2079">
      <w:pPr>
        <w:pStyle w:val="ParaLevel1"/>
      </w:pPr>
      <w:r>
        <w:t xml:space="preserve">In other words, a measure </w:t>
      </w:r>
      <w:r w:rsidR="004E3F0C">
        <w:t xml:space="preserve">must have </w:t>
      </w:r>
      <w:r>
        <w:t>sufficient clarity</w:t>
      </w:r>
      <w:r w:rsidR="001E3C42">
        <w:t xml:space="preserve"> an</w:t>
      </w:r>
      <w:r w:rsidR="008E7022">
        <w:t>d</w:t>
      </w:r>
      <w:r w:rsidR="001E3C42">
        <w:t xml:space="preserve"> foreseeability</w:t>
      </w:r>
      <w:r>
        <w:t xml:space="preserve"> for the purposes of </w:t>
      </w:r>
      <w:r w:rsidR="00DB1815">
        <w:t>IAWL and PBL</w:t>
      </w:r>
      <w:r>
        <w:t xml:space="preserve"> </w:t>
      </w:r>
      <w:r w:rsidR="002802C4">
        <w:t>so as</w:t>
      </w:r>
      <w:r>
        <w:t xml:space="preserve"> not </w:t>
      </w:r>
      <w:r w:rsidR="002802C4">
        <w:t xml:space="preserve">to </w:t>
      </w:r>
      <w:r>
        <w:t xml:space="preserve">allow arbitrariness, that is decision-making by a public authority on the basis of whim, caprice, malice or predilection (Lord Bingham in </w:t>
      </w:r>
      <w:r w:rsidRPr="00F340A9">
        <w:rPr>
          <w:i/>
          <w:iCs/>
        </w:rPr>
        <w:t>R (Gill</w:t>
      </w:r>
      <w:r w:rsidR="007913D0">
        <w:rPr>
          <w:i/>
          <w:iCs/>
        </w:rPr>
        <w:t>a</w:t>
      </w:r>
      <w:r w:rsidRPr="00F340A9">
        <w:rPr>
          <w:i/>
          <w:iCs/>
        </w:rPr>
        <w:t>n) v Metropolitan Police Commissioner</w:t>
      </w:r>
      <w:r>
        <w:t xml:space="preserve"> ([2006] UKHL 12; [2006] 2 AC 307 </w:t>
      </w:r>
      <w:r>
        <w:lastRenderedPageBreak/>
        <w:t xml:space="preserve">at [34]).  This court is being asked to determine whether </w:t>
      </w:r>
      <w:proofErr w:type="gramStart"/>
      <w:r>
        <w:t>particular parts</w:t>
      </w:r>
      <w:proofErr w:type="gramEnd"/>
      <w:r>
        <w:t xml:space="preserve"> of the </w:t>
      </w:r>
      <w:r w:rsidR="00AE3F24">
        <w:t>Policy</w:t>
      </w:r>
      <w:r>
        <w:t xml:space="preserve"> identified by the claimants are contrary to Art</w:t>
      </w:r>
      <w:r w:rsidR="00CD3443">
        <w:t xml:space="preserve">icles </w:t>
      </w:r>
      <w:r>
        <w:t>8, 10 and 11 because they allow officers to make individual decisions on the deployment of LFR which are arbitrary.</w:t>
      </w:r>
      <w:r w:rsidR="00E66FF1">
        <w:t xml:space="preserve"> The </w:t>
      </w:r>
      <w:r w:rsidR="00900B60">
        <w:t xml:space="preserve">Divisional Court and the </w:t>
      </w:r>
      <w:r w:rsidR="00E66FF1">
        <w:t>Court of Appeal ha</w:t>
      </w:r>
      <w:r w:rsidR="00900B60">
        <w:t>ve</w:t>
      </w:r>
      <w:r w:rsidR="00E66FF1">
        <w:t xml:space="preserve"> previously considered these issues in</w:t>
      </w:r>
      <w:r w:rsidR="002802C4">
        <w:t xml:space="preserve"> relation to</w:t>
      </w:r>
      <w:r w:rsidR="00E66FF1">
        <w:t xml:space="preserve"> LFR</w:t>
      </w:r>
      <w:r w:rsidR="00BF18F3">
        <w:t xml:space="preserve">: </w:t>
      </w:r>
      <w:r w:rsidR="00E66FF1" w:rsidRPr="00E66FF1">
        <w:rPr>
          <w:i/>
          <w:iCs/>
        </w:rPr>
        <w:t>R (Bridges) v Chief Constable of South Wales Police (Information Commissioner and others intervening)</w:t>
      </w:r>
      <w:r w:rsidR="00900B60">
        <w:rPr>
          <w:i/>
          <w:iCs/>
        </w:rPr>
        <w:t xml:space="preserve"> </w:t>
      </w:r>
      <w:r w:rsidR="00900B60">
        <w:t>[2019] EWHC 2341 (Admin) [2020] 1 WLR 672;</w:t>
      </w:r>
      <w:r w:rsidR="00E66FF1">
        <w:t xml:space="preserve"> [2020] EWCA </w:t>
      </w:r>
      <w:proofErr w:type="spellStart"/>
      <w:r w:rsidR="00E66FF1">
        <w:t>Civ</w:t>
      </w:r>
      <w:proofErr w:type="spellEnd"/>
      <w:r w:rsidR="00E66FF1">
        <w:t xml:space="preserve"> </w:t>
      </w:r>
      <w:proofErr w:type="gramStart"/>
      <w:r w:rsidR="00E66FF1">
        <w:t>1058</w:t>
      </w:r>
      <w:r w:rsidR="00900B60">
        <w:t xml:space="preserve">,  </w:t>
      </w:r>
      <w:r w:rsidR="00E66FF1">
        <w:t>[</w:t>
      </w:r>
      <w:proofErr w:type="gramEnd"/>
      <w:r w:rsidR="00E66FF1">
        <w:t>2020] 1 WLR 5037), which we discuss below.</w:t>
      </w:r>
    </w:p>
    <w:p w14:paraId="3C5CBF3C" w14:textId="2A0FE973" w:rsidR="00B35CF9" w:rsidRDefault="00E66FF1" w:rsidP="002F2079">
      <w:pPr>
        <w:pStyle w:val="ParaLevel1"/>
      </w:pPr>
      <w:r>
        <w:t xml:space="preserve">It is important to be clear at the outset that a challenge to the foreseeability of a measure, or its alleged arbitrariness, does not involve a challenge to the proportionality of that measure or its application in a particular case. That distinction was emphasised by Lord Sumption in </w:t>
      </w:r>
      <w:r w:rsidRPr="00E66FF1">
        <w:rPr>
          <w:i/>
          <w:iCs/>
        </w:rPr>
        <w:t>Gallagher</w:t>
      </w:r>
      <w:r>
        <w:t xml:space="preserve"> at [14] and [17]. </w:t>
      </w:r>
      <w:r w:rsidR="00B35CF9">
        <w:t xml:space="preserve">Lord Reed </w:t>
      </w:r>
      <w:r w:rsidR="00B73DBA">
        <w:t xml:space="preserve">JSC </w:t>
      </w:r>
      <w:r w:rsidR="00EC6BCD">
        <w:t>had previously drawn</w:t>
      </w:r>
      <w:r w:rsidR="00B73DBA">
        <w:t xml:space="preserve"> the same distinction in </w:t>
      </w:r>
      <w:r w:rsidR="00B73DBA" w:rsidRPr="00092E12">
        <w:rPr>
          <w:i/>
          <w:iCs/>
        </w:rPr>
        <w:t>R (T) v Chief Constable of Greater Manchester Police</w:t>
      </w:r>
      <w:r w:rsidR="00B73DBA">
        <w:t xml:space="preserve"> </w:t>
      </w:r>
      <w:r w:rsidR="00EC6BCD">
        <w:t xml:space="preserve">[2014] UKSC 35; [2015] AC 49 </w:t>
      </w:r>
      <w:r w:rsidR="00712FD0">
        <w:t>in his analysis at</w:t>
      </w:r>
      <w:r w:rsidR="00EC6BCD">
        <w:t xml:space="preserve"> </w:t>
      </w:r>
      <w:r w:rsidR="00AA6A2F">
        <w:t>[114]-[115]</w:t>
      </w:r>
      <w:r w:rsidR="005E3897">
        <w:t xml:space="preserve"> (endorsed by Lord Sumption in </w:t>
      </w:r>
      <w:r w:rsidR="005E3897">
        <w:rPr>
          <w:i/>
          <w:iCs/>
        </w:rPr>
        <w:t xml:space="preserve">Gallagher </w:t>
      </w:r>
      <w:r w:rsidR="005E3897">
        <w:t>at [36]-[41]).</w:t>
      </w:r>
    </w:p>
    <w:p w14:paraId="2C308A50" w14:textId="48BC383A" w:rsidR="00E66FF1" w:rsidRDefault="00E66FF1" w:rsidP="002F2079">
      <w:pPr>
        <w:pStyle w:val="ParaLevel1"/>
      </w:pPr>
      <w:r>
        <w:t xml:space="preserve">Whether a measure satisfies the </w:t>
      </w:r>
      <w:r w:rsidR="002802C4">
        <w:t>requirement of foreseeability</w:t>
      </w:r>
      <w:r>
        <w:t xml:space="preserve"> is an anterior legal question. If it does not, then the measure violates whichever Convention right is engaged. If it does, then issues as to justification and proportionality may fall to be determined.</w:t>
      </w:r>
      <w:r w:rsidR="005A138F">
        <w:t xml:space="preserve"> However, </w:t>
      </w:r>
      <w:r w:rsidR="00AE3F24">
        <w:t xml:space="preserve">Mr </w:t>
      </w:r>
      <w:r>
        <w:t>Squires made the claimants’ position clear. They do not raise any issue regarding justification or proportionality in this case.</w:t>
      </w:r>
      <w:r w:rsidR="0032533A">
        <w:t xml:space="preserve"> </w:t>
      </w:r>
    </w:p>
    <w:p w14:paraId="49BB6947" w14:textId="2FACF6F8" w:rsidR="0032533A" w:rsidRDefault="006B4ED2" w:rsidP="002F2079">
      <w:pPr>
        <w:pStyle w:val="ParaLevel1"/>
        <w:numPr>
          <w:ilvl w:val="0"/>
          <w:numId w:val="0"/>
        </w:numPr>
        <w:rPr>
          <w:b/>
          <w:bCs/>
        </w:rPr>
      </w:pPr>
      <w:r>
        <w:rPr>
          <w:b/>
          <w:bCs/>
        </w:rPr>
        <w:t>The claimants</w:t>
      </w:r>
    </w:p>
    <w:p w14:paraId="25BB16C6" w14:textId="1C079E6C" w:rsidR="0032533A" w:rsidRPr="0032533A" w:rsidRDefault="0032533A" w:rsidP="002F2079">
      <w:pPr>
        <w:pStyle w:val="ParaLevel1"/>
        <w:rPr>
          <w:b/>
          <w:bCs/>
        </w:rPr>
      </w:pPr>
      <w:r>
        <w:t xml:space="preserve">The first claimant is a 39-year-old </w:t>
      </w:r>
      <w:r w:rsidR="00F47D07">
        <w:t xml:space="preserve">Black </w:t>
      </w:r>
      <w:r>
        <w:t xml:space="preserve">man who was born and lives in London. He volunteers as a community worker with Street Fathers to provide a proactive and positive male presence for children and young people in areas of London affected by youth violence to prevent them </w:t>
      </w:r>
      <w:proofErr w:type="gramStart"/>
      <w:r>
        <w:t>coming into contact with</w:t>
      </w:r>
      <w:proofErr w:type="gramEnd"/>
      <w:r>
        <w:t xml:space="preserve"> the criminal justice system (Amended Statement of Facts and Grounds </w:t>
      </w:r>
      <w:r w:rsidR="00755FCC">
        <w:t>para.</w:t>
      </w:r>
      <w:r>
        <w:t>20).</w:t>
      </w:r>
    </w:p>
    <w:p w14:paraId="05B8B619" w14:textId="733B795A" w:rsidR="0032533A" w:rsidRPr="008003A1" w:rsidRDefault="0032533A" w:rsidP="002F2079">
      <w:pPr>
        <w:pStyle w:val="ParaLevel1"/>
        <w:rPr>
          <w:b/>
          <w:bCs/>
        </w:rPr>
      </w:pPr>
      <w:r>
        <w:t>On 23 February 202</w:t>
      </w:r>
      <w:r w:rsidR="00092AEE">
        <w:t>4</w:t>
      </w:r>
      <w:r>
        <w:t xml:space="preserve"> near London Bridge statio</w:t>
      </w:r>
      <w:r w:rsidR="00FB5624">
        <w:t>n Mr Thompson was s</w:t>
      </w:r>
      <w:r>
        <w:t>topped, detained and questioned by police officers</w:t>
      </w:r>
      <w:r w:rsidR="00882399">
        <w:t xml:space="preserve"> after having been </w:t>
      </w:r>
      <w:r w:rsidRPr="0032533A">
        <w:t>matched by LFR</w:t>
      </w:r>
      <w:r>
        <w:t xml:space="preserve"> with a different person on a police “watchlist” (a list of </w:t>
      </w:r>
      <w:r w:rsidR="00BF582F">
        <w:t>“S</w:t>
      </w:r>
      <w:r>
        <w:t xml:space="preserve">ought </w:t>
      </w:r>
      <w:r w:rsidR="00BF582F">
        <w:t>P</w:t>
      </w:r>
      <w:r>
        <w:t>ersons</w:t>
      </w:r>
      <w:r w:rsidR="00BF582F">
        <w:t>”</w:t>
      </w:r>
      <w:r>
        <w:t>).</w:t>
      </w:r>
      <w:r w:rsidR="008003A1">
        <w:t xml:space="preserve"> That person was </w:t>
      </w:r>
      <w:r w:rsidR="00FB5624">
        <w:t>hi</w:t>
      </w:r>
      <w:r w:rsidR="008003A1">
        <w:t>s brother who was on bail for a suspected offence of inflicting grievous bodily harm on</w:t>
      </w:r>
      <w:r w:rsidR="00FB5624">
        <w:t xml:space="preserve"> him</w:t>
      </w:r>
      <w:r w:rsidR="008003A1">
        <w:t>. Although officers doubted whethe</w:t>
      </w:r>
      <w:r w:rsidR="00FB5624">
        <w:t>r the first claimant</w:t>
      </w:r>
      <w:r w:rsidR="008003A1">
        <w:t xml:space="preserve"> was the person on the watchlist, they nevertheless scrutinised him, asked questions and made him prove his identity. When he declined to allow his fingerprints to be taken, he was threatened with arrest. </w:t>
      </w:r>
      <w:r w:rsidR="00D86F30">
        <w:t>Mr</w:t>
      </w:r>
      <w:r w:rsidR="008003A1">
        <w:t xml:space="preserve"> Thompson explains how the experience caused him to feel angry and distressed.</w:t>
      </w:r>
    </w:p>
    <w:p w14:paraId="26953A79" w14:textId="6035D14F" w:rsidR="008003A1" w:rsidRPr="008003A1" w:rsidRDefault="008003A1" w:rsidP="002F2079">
      <w:pPr>
        <w:pStyle w:val="ParaLevel1"/>
        <w:rPr>
          <w:b/>
          <w:bCs/>
        </w:rPr>
      </w:pPr>
      <w:r>
        <w:t xml:space="preserve">The second claimant, </w:t>
      </w:r>
      <w:r w:rsidR="00FC5ABD">
        <w:t>Ms</w:t>
      </w:r>
      <w:r>
        <w:t xml:space="preserve"> Silkie Carlo, is the director of the civil liberties organisation, Big Brother Watch. She also lives in London and has monitored and campaigned against the use of LFR by the </w:t>
      </w:r>
      <w:r w:rsidR="00D86F30">
        <w:t>MPS</w:t>
      </w:r>
      <w:r>
        <w:t xml:space="preserve"> since its inception. T</w:t>
      </w:r>
      <w:r w:rsidR="00677433">
        <w:t>o that end she has attended</w:t>
      </w:r>
      <w:r>
        <w:t xml:space="preserve"> LFR deployments. </w:t>
      </w:r>
      <w:r w:rsidR="002F3D7F">
        <w:t xml:space="preserve">In addition, </w:t>
      </w:r>
      <w:r w:rsidR="00FC5ABD">
        <w:t>Ms</w:t>
      </w:r>
      <w:r>
        <w:t xml:space="preserve"> Carlo often attends or organises protests and is concerned about the potential use of LFR at such events, as well as the increasing use of this technology over the years. </w:t>
      </w:r>
    </w:p>
    <w:p w14:paraId="0FDEF429" w14:textId="71483D23" w:rsidR="008003A1" w:rsidRPr="006B4ED2" w:rsidRDefault="008003A1" w:rsidP="002F2079">
      <w:pPr>
        <w:pStyle w:val="ParaLevel1"/>
        <w:rPr>
          <w:b/>
          <w:bCs/>
        </w:rPr>
      </w:pPr>
      <w:r>
        <w:t>The defendant does not dispute that both claimants have the status of victims for the purposes of their claims based on the ECHR.</w:t>
      </w:r>
    </w:p>
    <w:p w14:paraId="6D7C68BB" w14:textId="77777777" w:rsidR="000678F9" w:rsidRDefault="000678F9" w:rsidP="002F2079">
      <w:pPr>
        <w:pStyle w:val="ParaLevel1"/>
        <w:numPr>
          <w:ilvl w:val="0"/>
          <w:numId w:val="0"/>
        </w:numPr>
        <w:rPr>
          <w:b/>
          <w:bCs/>
        </w:rPr>
      </w:pPr>
    </w:p>
    <w:p w14:paraId="0F61CBBB" w14:textId="37AC711E" w:rsidR="006B4ED2" w:rsidRPr="006B4ED2" w:rsidRDefault="006B4ED2" w:rsidP="002F2079">
      <w:pPr>
        <w:pStyle w:val="ParaLevel1"/>
        <w:numPr>
          <w:ilvl w:val="0"/>
          <w:numId w:val="0"/>
        </w:numPr>
        <w:rPr>
          <w:b/>
          <w:bCs/>
        </w:rPr>
      </w:pPr>
      <w:r>
        <w:rPr>
          <w:b/>
          <w:bCs/>
        </w:rPr>
        <w:lastRenderedPageBreak/>
        <w:t>Procedural history</w:t>
      </w:r>
    </w:p>
    <w:p w14:paraId="6DE289D8" w14:textId="3CC6047A" w:rsidR="008003A1" w:rsidRPr="008003A1" w:rsidRDefault="008003A1" w:rsidP="002F2079">
      <w:pPr>
        <w:pStyle w:val="ParaLevel1"/>
        <w:rPr>
          <w:b/>
          <w:bCs/>
        </w:rPr>
      </w:pPr>
      <w:r>
        <w:t xml:space="preserve">The claim was originally issued on 24 May 2024. The original ground 1 alleged that the use of LFR on </w:t>
      </w:r>
      <w:r w:rsidR="00F21A84">
        <w:t>2</w:t>
      </w:r>
      <w:r>
        <w:t xml:space="preserve">3 February </w:t>
      </w:r>
      <w:r w:rsidRPr="00A045F6">
        <w:t>2023</w:t>
      </w:r>
      <w:r>
        <w:t xml:space="preserve"> breached </w:t>
      </w:r>
      <w:r w:rsidR="00D86F30">
        <w:t>Mr</w:t>
      </w:r>
      <w:r>
        <w:t xml:space="preserve"> Thompson’s </w:t>
      </w:r>
      <w:r w:rsidR="00CB1384">
        <w:t>rights</w:t>
      </w:r>
      <w:r>
        <w:t xml:space="preserve"> under Art</w:t>
      </w:r>
      <w:r w:rsidR="00880783">
        <w:t xml:space="preserve">icle </w:t>
      </w:r>
      <w:r>
        <w:t xml:space="preserve">8 of the ECHR on the basis that the defendant’s policy then in force breached the </w:t>
      </w:r>
      <w:r w:rsidR="00571E08">
        <w:t>IAWL requirement</w:t>
      </w:r>
      <w:r>
        <w:t>. It was contended that th</w:t>
      </w:r>
      <w:r w:rsidR="00CB1384">
        <w:t>at</w:t>
      </w:r>
      <w:r>
        <w:t xml:space="preserve"> policy contained insufficient constraints on </w:t>
      </w:r>
      <w:r w:rsidRPr="008003A1">
        <w:rPr>
          <w:i/>
          <w:iCs/>
        </w:rPr>
        <w:t>who</w:t>
      </w:r>
      <w:r>
        <w:t xml:space="preserve"> could be placed on a LFR watchlist and </w:t>
      </w:r>
      <w:r w:rsidRPr="008003A1">
        <w:rPr>
          <w:i/>
          <w:iCs/>
        </w:rPr>
        <w:t>where</w:t>
      </w:r>
      <w:r>
        <w:rPr>
          <w:i/>
          <w:iCs/>
        </w:rPr>
        <w:t xml:space="preserve"> </w:t>
      </w:r>
      <w:r>
        <w:t xml:space="preserve">LFR could be deployed. The original ground 2 alleged that the use of LFR by the </w:t>
      </w:r>
      <w:r w:rsidR="00D86F30">
        <w:t>MPS</w:t>
      </w:r>
      <w:r>
        <w:t xml:space="preserve"> breached </w:t>
      </w:r>
      <w:r w:rsidR="00FC5ABD">
        <w:t>Ms</w:t>
      </w:r>
      <w:r>
        <w:t xml:space="preserve"> Carlo’s rights under Art</w:t>
      </w:r>
      <w:r w:rsidR="00351572">
        <w:t xml:space="preserve">icles </w:t>
      </w:r>
      <w:r>
        <w:t xml:space="preserve">10 and 11 of the ECHR because its then policy on deployment breached the </w:t>
      </w:r>
      <w:r w:rsidR="00571E08">
        <w:t>PBL requirement</w:t>
      </w:r>
      <w:r>
        <w:t>.</w:t>
      </w:r>
    </w:p>
    <w:p w14:paraId="26C1ACB1" w14:textId="674D5CA7" w:rsidR="008003A1" w:rsidRPr="008003A1" w:rsidRDefault="008003A1" w:rsidP="002F2079">
      <w:pPr>
        <w:pStyle w:val="ParaLevel1"/>
        <w:rPr>
          <w:b/>
          <w:bCs/>
        </w:rPr>
      </w:pPr>
      <w:r>
        <w:t>The original claim for judicial review was accompanied by an expert report by Professor Martin Utley, a Professor of Operational Research at University College London</w:t>
      </w:r>
      <w:r w:rsidR="00A045F6">
        <w:t>,</w:t>
      </w:r>
      <w:r>
        <w:t xml:space="preserve"> which </w:t>
      </w:r>
      <w:r w:rsidR="001311E3">
        <w:t>sought</w:t>
      </w:r>
      <w:r>
        <w:t xml:space="preserve"> to show that the defendant’s policy then in force allowed the deployment of LFR across large areas of London, although</w:t>
      </w:r>
      <w:r w:rsidR="001311E3">
        <w:t xml:space="preserve"> </w:t>
      </w:r>
      <w:r>
        <w:t xml:space="preserve">the policy </w:t>
      </w:r>
      <w:r w:rsidR="001311E3">
        <w:t>purported</w:t>
      </w:r>
      <w:r>
        <w:t xml:space="preserve"> to “limit the locations</w:t>
      </w:r>
      <w:r w:rsidRPr="00A045F6">
        <w:t>”</w:t>
      </w:r>
      <w:r>
        <w:t xml:space="preserve"> where LFR could be used.</w:t>
      </w:r>
    </w:p>
    <w:p w14:paraId="19815B14" w14:textId="032957FE" w:rsidR="008003A1" w:rsidRPr="008003A1" w:rsidRDefault="008003A1" w:rsidP="002F2079">
      <w:pPr>
        <w:pStyle w:val="ParaLevel1"/>
        <w:rPr>
          <w:b/>
          <w:bCs/>
        </w:rPr>
      </w:pPr>
      <w:r>
        <w:t>On 4 June 2024 the defendant wrote to the claimant</w:t>
      </w:r>
      <w:r w:rsidR="007A1904">
        <w:t>s</w:t>
      </w:r>
      <w:r>
        <w:t xml:space="preserve">’ </w:t>
      </w:r>
      <w:r w:rsidR="004C5890">
        <w:t>s</w:t>
      </w:r>
      <w:r>
        <w:t>olicitors seeking their agreement to a stay of the claim while he undertook a “thorough and detailed” review of the LFR policy.</w:t>
      </w:r>
      <w:r w:rsidR="00943882">
        <w:rPr>
          <w:rStyle w:val="FootnoteReference"/>
        </w:rPr>
        <w:footnoteReference w:id="2"/>
      </w:r>
      <w:r>
        <w:t xml:space="preserve"> For example, it was accepted that some parts of the document were not clearly expressed, potentially giving the impression that it took a more permissive approach to deployment than the</w:t>
      </w:r>
      <w:r w:rsidR="005131C0">
        <w:t xml:space="preserve"> defendant</w:t>
      </w:r>
      <w:r w:rsidR="00D86F30">
        <w:t xml:space="preserve"> </w:t>
      </w:r>
      <w:r w:rsidR="006C3EF2">
        <w:t>w</w:t>
      </w:r>
      <w:r w:rsidR="00BC51F7">
        <w:t>as</w:t>
      </w:r>
      <w:r>
        <w:t xml:space="preserve"> in fact </w:t>
      </w:r>
      <w:r w:rsidR="006C3EF2">
        <w:t>seeking</w:t>
      </w:r>
      <w:r>
        <w:t xml:space="preserve"> to adopt (</w:t>
      </w:r>
      <w:r w:rsidR="00755FCC">
        <w:t>para.</w:t>
      </w:r>
      <w:r>
        <w:t>41 of the Amended Statement of Facts and Grounds).</w:t>
      </w:r>
    </w:p>
    <w:p w14:paraId="182BF36F" w14:textId="0A92CAF2" w:rsidR="008003A1" w:rsidRPr="008003A1" w:rsidRDefault="008003A1" w:rsidP="002F2079">
      <w:pPr>
        <w:pStyle w:val="ParaLevel1"/>
        <w:rPr>
          <w:b/>
          <w:bCs/>
        </w:rPr>
      </w:pPr>
      <w:r>
        <w:t>The claimants did not agree to the claim being stayed and so the defendant applied for a stay until 11 September 2024, the date anticipated for the completion of the review. On 22 July 2024 Sheldon J granted the stay</w:t>
      </w:r>
      <w:r w:rsidR="00EE15F5">
        <w:t xml:space="preserve">. He also </w:t>
      </w:r>
      <w:r>
        <w:t>granted the claimants permission to amend their claim in the light of the review.</w:t>
      </w:r>
    </w:p>
    <w:p w14:paraId="06BDA2C9" w14:textId="5A12BD7F" w:rsidR="008003A1" w:rsidRPr="008003A1" w:rsidRDefault="008003A1" w:rsidP="002F2079">
      <w:pPr>
        <w:pStyle w:val="ParaLevel1"/>
        <w:rPr>
          <w:b/>
          <w:bCs/>
        </w:rPr>
      </w:pPr>
      <w:r>
        <w:t xml:space="preserve">As we have said, on 11 September 2024 the defendant did publish his revised and current </w:t>
      </w:r>
      <w:r w:rsidR="00AE3F24">
        <w:t>Policy</w:t>
      </w:r>
      <w:r>
        <w:t>, which replaced the previous policy documents.</w:t>
      </w:r>
    </w:p>
    <w:p w14:paraId="2590FA6E" w14:textId="570399A8" w:rsidR="005472C2" w:rsidRPr="005472C2" w:rsidRDefault="008003A1" w:rsidP="002F2079">
      <w:pPr>
        <w:pStyle w:val="ParaLevel1"/>
        <w:rPr>
          <w:b/>
          <w:bCs/>
        </w:rPr>
      </w:pPr>
      <w:r>
        <w:t xml:space="preserve">On 29 November 2024 the claimants filed an Amended Statement of Facts and Grounds which included challenges to the new </w:t>
      </w:r>
      <w:r w:rsidR="00AE3F24">
        <w:t>Policy</w:t>
      </w:r>
      <w:r>
        <w:t xml:space="preserve"> relying on an alleged failure to comply with the </w:t>
      </w:r>
      <w:r w:rsidR="00315A5F">
        <w:t xml:space="preserve">IAWL or PBL </w:t>
      </w:r>
      <w:proofErr w:type="gramStart"/>
      <w:r w:rsidR="00315A5F">
        <w:t xml:space="preserve">requirements </w:t>
      </w:r>
      <w:r>
        <w:t xml:space="preserve"> in</w:t>
      </w:r>
      <w:proofErr w:type="gramEnd"/>
      <w:r>
        <w:t xml:space="preserve"> Art</w:t>
      </w:r>
      <w:r w:rsidR="00EB0D32">
        <w:t xml:space="preserve">icles </w:t>
      </w:r>
      <w:r>
        <w:t>8,</w:t>
      </w:r>
      <w:r w:rsidR="00BC51F7">
        <w:t xml:space="preserve"> </w:t>
      </w:r>
      <w:r>
        <w:t>10 and 11 of the ECHR. Those grounds 3 and 4 correspond to what w</w:t>
      </w:r>
      <w:r w:rsidR="003022AB">
        <w:t>ere</w:t>
      </w:r>
      <w:r>
        <w:t xml:space="preserve"> referred to as grounds 1 and 2 </w:t>
      </w:r>
      <w:r w:rsidR="008D4408">
        <w:t>during</w:t>
      </w:r>
      <w:r>
        <w:t xml:space="preserve"> the substantive hearing before us. </w:t>
      </w:r>
    </w:p>
    <w:p w14:paraId="4286CCC4" w14:textId="6E653D2D" w:rsidR="008003A1" w:rsidRPr="00E87847" w:rsidRDefault="008003A1" w:rsidP="002F2079">
      <w:pPr>
        <w:pStyle w:val="ParaLevel1"/>
        <w:rPr>
          <w:b/>
          <w:bCs/>
        </w:rPr>
      </w:pPr>
      <w:r>
        <w:t>Th</w:t>
      </w:r>
      <w:r w:rsidR="00315A5F">
        <w:t>is amended pleading</w:t>
      </w:r>
      <w:r>
        <w:t xml:space="preserve"> was accompanied by an application to rely upon a second expert report by Professor Utley which gave his mathematical analysis of the effect of </w:t>
      </w:r>
      <w:r w:rsidR="00315A5F">
        <w:t xml:space="preserve">certain </w:t>
      </w:r>
      <w:r>
        <w:t xml:space="preserve">criteria in the September 2024 </w:t>
      </w:r>
      <w:r w:rsidR="00AE3F24">
        <w:t>Policy</w:t>
      </w:r>
      <w:r>
        <w:t xml:space="preserve">. The claimants </w:t>
      </w:r>
      <w:r w:rsidR="005472C2">
        <w:t>no longer</w:t>
      </w:r>
      <w:r>
        <w:t xml:space="preserve"> rel</w:t>
      </w:r>
      <w:r w:rsidR="005472C2">
        <w:t>ied</w:t>
      </w:r>
      <w:r>
        <w:t xml:space="preserve"> upon Professor Utley’s first repor</w:t>
      </w:r>
      <w:r w:rsidR="005472C2">
        <w:t>t</w:t>
      </w:r>
      <w:r>
        <w:t>.</w:t>
      </w:r>
    </w:p>
    <w:p w14:paraId="223FFECB" w14:textId="07E4561B" w:rsidR="00E87847" w:rsidRPr="00E87847" w:rsidRDefault="00E87847" w:rsidP="002F2079">
      <w:pPr>
        <w:pStyle w:val="ParaLevel1"/>
        <w:rPr>
          <w:b/>
          <w:bCs/>
        </w:rPr>
      </w:pPr>
      <w:r>
        <w:t xml:space="preserve">On 18 December 2024 a consent order was agreed (eventually sealed on 30 April 2025) by which grounds 1 and 2 of the original claim were withdrawn on terms as to costs and a settlement sum payable to </w:t>
      </w:r>
      <w:r w:rsidR="00D86F30">
        <w:t>Mr</w:t>
      </w:r>
      <w:r>
        <w:t xml:space="preserve"> Thompson.</w:t>
      </w:r>
    </w:p>
    <w:p w14:paraId="7BB24504" w14:textId="3DF24846" w:rsidR="00E87847" w:rsidRPr="00E87847" w:rsidRDefault="00E87847" w:rsidP="002F2079">
      <w:pPr>
        <w:pStyle w:val="ParaLevel1"/>
        <w:rPr>
          <w:b/>
          <w:bCs/>
        </w:rPr>
      </w:pPr>
      <w:r>
        <w:lastRenderedPageBreak/>
        <w:t>On 30 April 2025 Farbey J granted the claimants permission to apply for judicial review in relation to the then grounds 3 and 4 and she directed the holding of an interim application</w:t>
      </w:r>
      <w:r w:rsidR="00BC51F7">
        <w:t>s</w:t>
      </w:r>
      <w:r>
        <w:t xml:space="preserve"> hearing.</w:t>
      </w:r>
    </w:p>
    <w:p w14:paraId="634C4E8E" w14:textId="785CCFC3" w:rsidR="00E87847" w:rsidRPr="00E87847" w:rsidRDefault="00E87847" w:rsidP="002F2079">
      <w:pPr>
        <w:pStyle w:val="ParaLevel1"/>
        <w:rPr>
          <w:b/>
          <w:bCs/>
        </w:rPr>
      </w:pPr>
      <w:r>
        <w:t xml:space="preserve">On 2 July 2025 Farbey J granted </w:t>
      </w:r>
      <w:r w:rsidR="00EE15F5">
        <w:t>t</w:t>
      </w:r>
      <w:r>
        <w:t xml:space="preserve">he Equality and Human Rights Commission </w:t>
      </w:r>
      <w:r w:rsidR="00132A09">
        <w:t>(“</w:t>
      </w:r>
      <w:r w:rsidR="00944A62">
        <w:t>the Commission</w:t>
      </w:r>
      <w:r w:rsidR="00132A09">
        <w:t xml:space="preserve">”) </w:t>
      </w:r>
      <w:r>
        <w:t xml:space="preserve">permission to intervene by way of limited written submissions and reliance upon the written evidence of </w:t>
      </w:r>
      <w:r w:rsidR="00FC5ABD">
        <w:t>Ms</w:t>
      </w:r>
      <w:r>
        <w:t xml:space="preserve"> Angharad Davies, the Commission’s project lead on compliance work relating to police use of LFR since October 2023. That witness statement was amended on 15 July 2025.</w:t>
      </w:r>
    </w:p>
    <w:p w14:paraId="39CA326A" w14:textId="4AFAC58D" w:rsidR="00E87847" w:rsidRPr="006D5828" w:rsidRDefault="00E87847" w:rsidP="002F2079">
      <w:pPr>
        <w:pStyle w:val="ParaLevel1"/>
        <w:rPr>
          <w:b/>
          <w:bCs/>
        </w:rPr>
      </w:pPr>
      <w:r>
        <w:t xml:space="preserve">The interim applications hearing took place on 8 July 2025. On 16 September 2025 Farbey J issued her order for directions. She ordered that the second report of Professor Utley and the third witness statement of </w:t>
      </w:r>
      <w:r w:rsidR="00FC5ABD">
        <w:t>Ms</w:t>
      </w:r>
      <w:r>
        <w:t xml:space="preserve"> Carlo would be considered by the court </w:t>
      </w:r>
      <w:r w:rsidRPr="00E87847">
        <w:rPr>
          <w:i/>
          <w:iCs/>
        </w:rPr>
        <w:t>de bene esse</w:t>
      </w:r>
      <w:r>
        <w:rPr>
          <w:i/>
          <w:iCs/>
        </w:rPr>
        <w:t xml:space="preserve">. </w:t>
      </w:r>
      <w:r>
        <w:t>She ordered the claimants to file a list of legal propositions which they seek to base upon Professor Utley’s second report. In her judgment handed down on the same day as her order</w:t>
      </w:r>
      <w:r w:rsidR="005F5980">
        <w:t>,</w:t>
      </w:r>
      <w:r>
        <w:t xml:space="preserve"> Farbey J dealt with the evidence of Professor Utley and </w:t>
      </w:r>
      <w:r w:rsidR="00FC5ABD">
        <w:t>Ms</w:t>
      </w:r>
      <w:r>
        <w:t xml:space="preserve"> Carlo</w:t>
      </w:r>
      <w:r w:rsidR="00F77AF6">
        <w:t xml:space="preserve"> and </w:t>
      </w:r>
      <w:r>
        <w:t xml:space="preserve">cost </w:t>
      </w:r>
      <w:proofErr w:type="gramStart"/>
      <w:r>
        <w:t>capping</w:t>
      </w:r>
      <w:proofErr w:type="gramEnd"/>
      <w:r>
        <w:t xml:space="preserve"> and </w:t>
      </w:r>
      <w:r w:rsidR="00F77AF6">
        <w:t xml:space="preserve">she </w:t>
      </w:r>
      <w:r w:rsidR="00053FA0">
        <w:t>directed that the grounds referred to as 3 and 4 in the Amended Statement of Facts and Grounds be renumbered as 1 and 2 respectively</w:t>
      </w:r>
      <w:r>
        <w:t>.</w:t>
      </w:r>
    </w:p>
    <w:p w14:paraId="1E9FDA71" w14:textId="7096E374" w:rsidR="006D5828" w:rsidRPr="005D392C" w:rsidRDefault="006D5828" w:rsidP="002F2079">
      <w:pPr>
        <w:pStyle w:val="ParaLevel1"/>
        <w:rPr>
          <w:b/>
          <w:bCs/>
        </w:rPr>
      </w:pPr>
      <w:r>
        <w:t xml:space="preserve">On 22 July 2025 the </w:t>
      </w:r>
      <w:r w:rsidR="00DB267D">
        <w:t>claimants filed a statement summarising the</w:t>
      </w:r>
      <w:r w:rsidR="000E56C2">
        <w:t xml:space="preserve"> </w:t>
      </w:r>
      <w:r w:rsidR="00DB267D">
        <w:t>evidential points in Professor Utley’s report upon which they rely and the</w:t>
      </w:r>
      <w:r w:rsidR="000E56C2">
        <w:t xml:space="preserve">ir legal contentions to which those points are said to be relevant. </w:t>
      </w:r>
      <w:r w:rsidR="00DF5BC7">
        <w:t xml:space="preserve">The claimants </w:t>
      </w:r>
      <w:r w:rsidR="00A036C3">
        <w:t xml:space="preserve">say (at </w:t>
      </w:r>
      <w:r w:rsidR="00755FCC">
        <w:t>para.</w:t>
      </w:r>
      <w:r w:rsidR="00A036C3">
        <w:t xml:space="preserve">7) </w:t>
      </w:r>
      <w:r w:rsidR="00604EAD">
        <w:t>that on their understanding of the la</w:t>
      </w:r>
      <w:r w:rsidR="00867892">
        <w:t xml:space="preserve">w on IAWL and PBL </w:t>
      </w:r>
      <w:r w:rsidR="00B82E0C">
        <w:t>“</w:t>
      </w:r>
      <w:r w:rsidR="00867892">
        <w:t xml:space="preserve">it </w:t>
      </w:r>
      <w:r w:rsidR="00DB0C12">
        <w:t>cannot</w:t>
      </w:r>
      <w:r w:rsidR="00867892">
        <w:t xml:space="preserve"> simply be left to </w:t>
      </w:r>
      <w:r w:rsidR="00DB0C12">
        <w:t>individual officers’ discretion</w:t>
      </w:r>
      <w:r w:rsidR="00B82E0C">
        <w:t xml:space="preserve"> to </w:t>
      </w:r>
      <w:r w:rsidR="00277B0C">
        <w:t xml:space="preserve">use </w:t>
      </w:r>
      <w:r w:rsidR="00B82E0C">
        <w:t xml:space="preserve">LFR at any crowded location </w:t>
      </w:r>
      <w:r w:rsidR="00277B0C">
        <w:t xml:space="preserve">the officer chooses” and that </w:t>
      </w:r>
      <w:r w:rsidR="00DD1254">
        <w:t>i</w:t>
      </w:r>
      <w:r w:rsidR="00277B0C">
        <w:t xml:space="preserve">f </w:t>
      </w:r>
      <w:r w:rsidR="003A12E9">
        <w:t xml:space="preserve">the </w:t>
      </w:r>
      <w:r w:rsidR="0033660D">
        <w:t xml:space="preserve">defendant “ is able … in practice, to select virtually any area of </w:t>
      </w:r>
      <w:r w:rsidR="0052311B">
        <w:t xml:space="preserve">high footfall across London and deploy LFR there in the hope </w:t>
      </w:r>
      <w:r w:rsidR="00B90A56">
        <w:t xml:space="preserve">that someone he seeks will be present …. [his] use of LFR </w:t>
      </w:r>
      <w:r w:rsidR="00A036C3">
        <w:t xml:space="preserve">is not IAWL pursuant to the principles set out in </w:t>
      </w:r>
      <w:r w:rsidR="00A036C3" w:rsidRPr="00A036C3">
        <w:rPr>
          <w:i/>
          <w:iCs/>
        </w:rPr>
        <w:t>Bridges</w:t>
      </w:r>
      <w:r w:rsidR="00A036C3">
        <w:t>.”</w:t>
      </w:r>
      <w:r w:rsidR="00782C3B">
        <w:t xml:space="preserve"> The claimants </w:t>
      </w:r>
      <w:r w:rsidR="008859AE">
        <w:t xml:space="preserve">then </w:t>
      </w:r>
      <w:r w:rsidR="00782C3B">
        <w:t xml:space="preserve">say that Professor Utley’s </w:t>
      </w:r>
      <w:r w:rsidR="005D392C">
        <w:t>report</w:t>
      </w:r>
      <w:r w:rsidR="00782C3B">
        <w:t xml:space="preserve"> </w:t>
      </w:r>
      <w:r w:rsidR="0009699A">
        <w:t xml:space="preserve">“goes to whether the </w:t>
      </w:r>
      <w:r w:rsidR="008F3C43">
        <w:t>[</w:t>
      </w:r>
      <w:r w:rsidR="00AE3F24">
        <w:t>Policy</w:t>
      </w:r>
      <w:r w:rsidR="008F3C43">
        <w:t xml:space="preserve">] operates in that way, and, in practice, it prevents officers from </w:t>
      </w:r>
      <w:r w:rsidR="00B94FC3">
        <w:t xml:space="preserve">being able to select virtually any crowded location they wish </w:t>
      </w:r>
      <w:r w:rsidR="00BC0E88">
        <w:t>in London for deployment of LFR.”</w:t>
      </w:r>
      <w:r w:rsidR="00AE0A62">
        <w:t xml:space="preserve"> </w:t>
      </w:r>
      <w:r w:rsidR="004046A1">
        <w:t>Similarly, a</w:t>
      </w:r>
      <w:r w:rsidR="00AE0A62">
        <w:t xml:space="preserve">fter summarising </w:t>
      </w:r>
      <w:r w:rsidR="005D392C">
        <w:t xml:space="preserve">in </w:t>
      </w:r>
      <w:r w:rsidR="00755FCC">
        <w:t>para.</w:t>
      </w:r>
      <w:r w:rsidR="005D392C">
        <w:t xml:space="preserve">8 </w:t>
      </w:r>
      <w:r w:rsidR="00AE0A62">
        <w:t xml:space="preserve">key points in </w:t>
      </w:r>
      <w:r w:rsidR="005D392C">
        <w:t xml:space="preserve">Professor Utley’s report, the document concludes at </w:t>
      </w:r>
      <w:r w:rsidR="00755FCC">
        <w:t>para.</w:t>
      </w:r>
      <w:r w:rsidR="005D392C">
        <w:t>9:</w:t>
      </w:r>
    </w:p>
    <w:p w14:paraId="1118EC79" w14:textId="546FEBE0" w:rsidR="005D392C" w:rsidRPr="00E87847" w:rsidRDefault="00EB79ED" w:rsidP="002F2079">
      <w:pPr>
        <w:pStyle w:val="Quote"/>
      </w:pPr>
      <w:r>
        <w:t>“</w:t>
      </w:r>
      <w:r w:rsidR="00C7059E">
        <w:t xml:space="preserve">The Cs will submit at the hearing that in light of Professor Utley’s Report, and other evidence before the court, as well as the construction of the </w:t>
      </w:r>
      <w:r w:rsidR="004046A1">
        <w:t>[</w:t>
      </w:r>
      <w:r w:rsidR="00AE3F24">
        <w:t>Policy</w:t>
      </w:r>
      <w:r w:rsidR="004046A1">
        <w:t>]</w:t>
      </w:r>
      <w:r w:rsidR="00C7059E">
        <w:t xml:space="preserve"> (which is a matter for the court), it is clear that the MPS can, in practice, select virtually any high footfall area in London and deploy LFR there, and that the </w:t>
      </w:r>
      <w:r w:rsidR="00E47436">
        <w:t>[</w:t>
      </w:r>
      <w:r w:rsidR="00AE3F24">
        <w:t>Policy</w:t>
      </w:r>
      <w:r w:rsidR="00E47436">
        <w:t>]</w:t>
      </w:r>
      <w:r w:rsidR="00C7059E">
        <w:t xml:space="preserve"> provides little if any meaningful constraint on </w:t>
      </w:r>
      <w:r w:rsidR="00B202A9">
        <w:t>‘</w:t>
      </w:r>
      <w:r w:rsidR="00C7059E">
        <w:t>where</w:t>
      </w:r>
      <w:r w:rsidR="00B202A9">
        <w:t>’</w:t>
      </w:r>
      <w:r w:rsidR="00C7059E">
        <w:t xml:space="preserve"> LFR can be deployed.</w:t>
      </w:r>
      <w:r>
        <w:t>”</w:t>
      </w:r>
    </w:p>
    <w:p w14:paraId="65A1552A" w14:textId="7FDDBF27" w:rsidR="00E87847" w:rsidRPr="00E87847" w:rsidRDefault="00E87847" w:rsidP="002F2079">
      <w:pPr>
        <w:pStyle w:val="ParaLevel1"/>
        <w:rPr>
          <w:b/>
          <w:bCs/>
        </w:rPr>
      </w:pPr>
      <w:r>
        <w:t xml:space="preserve">On 10 October 2025 the defendant filed a second witness statement by </w:t>
      </w:r>
      <w:r w:rsidR="00FC5ABD">
        <w:t>Ms</w:t>
      </w:r>
      <w:r>
        <w:t xml:space="preserve"> </w:t>
      </w:r>
      <w:r w:rsidR="00B7482D">
        <w:t xml:space="preserve">Lindsey </w:t>
      </w:r>
      <w:r>
        <w:t>Chiswick, the Director of Performance and Insight at the M</w:t>
      </w:r>
      <w:r w:rsidR="00D86F30">
        <w:t>PS</w:t>
      </w:r>
      <w:r>
        <w:t xml:space="preserve"> since November 2024 and previously Director of Intelligence. She </w:t>
      </w:r>
      <w:r w:rsidR="008353C4">
        <w:t>had taken</w:t>
      </w:r>
      <w:r>
        <w:t xml:space="preserve"> over responsibility for LFR from a Deputy Assistant Commissioner in November 2019. She is also the National Police Chiefs’ Council </w:t>
      </w:r>
      <w:r w:rsidR="00943882">
        <w:t>L</w:t>
      </w:r>
      <w:r>
        <w:t>ead for</w:t>
      </w:r>
      <w:r w:rsidR="009461D4">
        <w:t xml:space="preserve"> Facial Recognition</w:t>
      </w:r>
      <w:r>
        <w:t>. Her witness statement responds to th</w:t>
      </w:r>
      <w:r w:rsidR="005C1C03">
        <w:t>e</w:t>
      </w:r>
      <w:r>
        <w:t xml:space="preserve"> evidence filed on behalf of the claimants</w:t>
      </w:r>
      <w:r w:rsidR="000E75C0">
        <w:t xml:space="preserve"> upon </w:t>
      </w:r>
      <w:r>
        <w:t>which they still rely.</w:t>
      </w:r>
    </w:p>
    <w:p w14:paraId="7879AD8E" w14:textId="0162A443" w:rsidR="00E87847" w:rsidRPr="00E87847" w:rsidRDefault="00E87847" w:rsidP="002F2079">
      <w:pPr>
        <w:pStyle w:val="ParaLevel1"/>
        <w:rPr>
          <w:b/>
          <w:bCs/>
        </w:rPr>
      </w:pPr>
      <w:r>
        <w:t>S</w:t>
      </w:r>
      <w:r w:rsidR="00C1317A">
        <w:t>ubsequently</w:t>
      </w:r>
      <w:r>
        <w:t>, the following further written evidence has been filed:</w:t>
      </w:r>
    </w:p>
    <w:p w14:paraId="3076C403" w14:textId="35EB36F3" w:rsidR="00E87847" w:rsidRDefault="00E87847" w:rsidP="002F2079">
      <w:pPr>
        <w:pStyle w:val="ParaLevel1"/>
        <w:numPr>
          <w:ilvl w:val="0"/>
          <w:numId w:val="34"/>
        </w:numPr>
      </w:pPr>
      <w:r w:rsidRPr="00E87847">
        <w:t xml:space="preserve">The third expert report of Professor Utley (21 November 2025) responding to </w:t>
      </w:r>
      <w:r w:rsidR="00FC5ABD">
        <w:t>Ms</w:t>
      </w:r>
      <w:r w:rsidR="00CF260D">
        <w:t xml:space="preserve"> </w:t>
      </w:r>
      <w:r w:rsidRPr="00E87847">
        <w:t>Chiswick</w:t>
      </w:r>
      <w:r w:rsidR="00CF260D">
        <w:t xml:space="preserve">’s second witness </w:t>
      </w:r>
      <w:proofErr w:type="gramStart"/>
      <w:r w:rsidR="003E7332">
        <w:t>statement</w:t>
      </w:r>
      <w:r w:rsidR="002A1F30">
        <w:t>;</w:t>
      </w:r>
      <w:proofErr w:type="gramEnd"/>
    </w:p>
    <w:p w14:paraId="7F423A46" w14:textId="5B63978A" w:rsidR="00CB0836" w:rsidRDefault="00CB0836" w:rsidP="002F2079">
      <w:pPr>
        <w:pStyle w:val="ParaLevel1"/>
        <w:numPr>
          <w:ilvl w:val="0"/>
          <w:numId w:val="34"/>
        </w:numPr>
      </w:pPr>
      <w:r>
        <w:lastRenderedPageBreak/>
        <w:t xml:space="preserve">The fifth witness statement of </w:t>
      </w:r>
      <w:r w:rsidR="00FC5ABD">
        <w:t>Ms</w:t>
      </w:r>
      <w:r>
        <w:t xml:space="preserve"> Carlo (21 November 2025) responding to </w:t>
      </w:r>
      <w:r w:rsidR="00FC5ABD">
        <w:t>Ms</w:t>
      </w:r>
      <w:r w:rsidR="00CF260D">
        <w:t xml:space="preserve"> </w:t>
      </w:r>
      <w:r>
        <w:t>Chiswick</w:t>
      </w:r>
      <w:r w:rsidR="00CF260D">
        <w:t>’s second witness statement</w:t>
      </w:r>
      <w:r w:rsidR="00D8603B">
        <w:t xml:space="preserve">; and </w:t>
      </w:r>
    </w:p>
    <w:p w14:paraId="555751B3" w14:textId="3795C8E6" w:rsidR="00CB0836" w:rsidRDefault="00CB0836" w:rsidP="002F2079">
      <w:pPr>
        <w:pStyle w:val="ParaLevel1"/>
        <w:numPr>
          <w:ilvl w:val="0"/>
          <w:numId w:val="34"/>
        </w:numPr>
      </w:pPr>
      <w:r>
        <w:t xml:space="preserve">The third witness statement of </w:t>
      </w:r>
      <w:r w:rsidR="00FC5ABD">
        <w:t>Ms</w:t>
      </w:r>
      <w:r>
        <w:t xml:space="preserve"> Chiswick responding to Professor Utley’s third report and </w:t>
      </w:r>
      <w:r w:rsidR="00FC5ABD">
        <w:t>Ms</w:t>
      </w:r>
      <w:r w:rsidR="00CF260D">
        <w:t xml:space="preserve"> </w:t>
      </w:r>
      <w:r>
        <w:t>Carlo</w:t>
      </w:r>
      <w:r w:rsidR="00CF260D">
        <w:t xml:space="preserve">’s fifth witness statement. </w:t>
      </w:r>
    </w:p>
    <w:p w14:paraId="2639499C" w14:textId="4F73D49F" w:rsidR="00CB0836" w:rsidRDefault="00CB0836" w:rsidP="002F2079">
      <w:pPr>
        <w:pStyle w:val="ParaLevel1"/>
        <w:numPr>
          <w:ilvl w:val="0"/>
          <w:numId w:val="0"/>
        </w:numPr>
        <w:ind w:left="720"/>
      </w:pPr>
      <w:r>
        <w:t xml:space="preserve">The parties agreed that we should receive this material </w:t>
      </w:r>
      <w:r w:rsidRPr="00AC718C">
        <w:rPr>
          <w:i/>
          <w:iCs/>
        </w:rPr>
        <w:t>de bene esse.</w:t>
      </w:r>
      <w:r w:rsidRPr="0032248C">
        <w:t xml:space="preserve"> </w:t>
      </w:r>
      <w:r>
        <w:t>At the hearing we agreed to do so. The admissibility, and if admissible the utility, of this evidence will depend upon the legal issues we have to decide and the legal principles applicable.</w:t>
      </w:r>
    </w:p>
    <w:p w14:paraId="4ECE1BDB" w14:textId="62F45DDF" w:rsidR="009F54A4" w:rsidRDefault="002802C4" w:rsidP="002F2079">
      <w:pPr>
        <w:pStyle w:val="ParaLevel1"/>
        <w:numPr>
          <w:ilvl w:val="0"/>
          <w:numId w:val="0"/>
        </w:numPr>
        <w:ind w:left="720" w:hanging="720"/>
        <w:rPr>
          <w:b/>
          <w:bCs/>
        </w:rPr>
      </w:pPr>
      <w:r>
        <w:rPr>
          <w:b/>
          <w:bCs/>
        </w:rPr>
        <w:t>T</w:t>
      </w:r>
      <w:r w:rsidR="00516DAE">
        <w:rPr>
          <w:b/>
          <w:bCs/>
        </w:rPr>
        <w:t>he European Convention of Human Rights</w:t>
      </w:r>
    </w:p>
    <w:p w14:paraId="50AA9DC4" w14:textId="1D751B32" w:rsidR="009F54A4" w:rsidRDefault="009F54A4" w:rsidP="002F2079">
      <w:pPr>
        <w:pStyle w:val="ParaLevel1"/>
      </w:pPr>
      <w:r w:rsidRPr="009F54A4">
        <w:t>Article 8 provides:</w:t>
      </w:r>
    </w:p>
    <w:p w14:paraId="1C35EE8B" w14:textId="61ABC07E" w:rsidR="00066137" w:rsidRDefault="00066137" w:rsidP="002F2079">
      <w:pPr>
        <w:pStyle w:val="Quote"/>
        <w:rPr>
          <w:smallCaps/>
          <w:sz w:val="22"/>
          <w:szCs w:val="22"/>
          <w:lang w:eastAsia="en-GB"/>
        </w:rPr>
      </w:pPr>
      <w:r>
        <w:rPr>
          <w:lang w:eastAsia="en-GB"/>
        </w:rPr>
        <w:t>“Article 8</w:t>
      </w:r>
    </w:p>
    <w:p w14:paraId="1ADE989E" w14:textId="63ED2875" w:rsidR="009F54A4" w:rsidRPr="00066137" w:rsidRDefault="009F54A4" w:rsidP="002F2079">
      <w:pPr>
        <w:pStyle w:val="Quote"/>
        <w:rPr>
          <w:i/>
          <w:iCs/>
          <w:lang w:eastAsia="en-GB"/>
        </w:rPr>
      </w:pPr>
      <w:r w:rsidRPr="00066137">
        <w:rPr>
          <w:i/>
          <w:iCs/>
          <w:lang w:eastAsia="en-GB"/>
        </w:rPr>
        <w:t>Right to respect for private and family life</w:t>
      </w:r>
    </w:p>
    <w:p w14:paraId="68919846" w14:textId="3BE20E6A" w:rsidR="009F54A4" w:rsidRPr="009F54A4" w:rsidRDefault="009F54A4" w:rsidP="002F2079">
      <w:pPr>
        <w:pStyle w:val="Quote"/>
        <w:rPr>
          <w:lang w:eastAsia="en-GB"/>
        </w:rPr>
      </w:pPr>
      <w:r w:rsidRPr="009F54A4">
        <w:rPr>
          <w:lang w:eastAsia="en-GB"/>
        </w:rPr>
        <w:t>1</w:t>
      </w:r>
      <w:r>
        <w:rPr>
          <w:lang w:eastAsia="en-GB"/>
        </w:rPr>
        <w:t xml:space="preserve">. </w:t>
      </w:r>
      <w:r w:rsidRPr="009F54A4">
        <w:rPr>
          <w:lang w:eastAsia="en-GB"/>
        </w:rPr>
        <w:t>Everyone has the right to respect for his private and family life, his home and his correspondence.</w:t>
      </w:r>
    </w:p>
    <w:p w14:paraId="348B9C15" w14:textId="370A4B0C" w:rsidR="009F54A4" w:rsidRDefault="009F54A4" w:rsidP="002F2079">
      <w:pPr>
        <w:pStyle w:val="Quote"/>
        <w:rPr>
          <w:lang w:eastAsia="en-GB"/>
        </w:rPr>
      </w:pPr>
      <w:r w:rsidRPr="009F54A4">
        <w:rPr>
          <w:lang w:eastAsia="en-GB"/>
        </w:rPr>
        <w:t>2</w:t>
      </w:r>
      <w:r>
        <w:rPr>
          <w:lang w:eastAsia="en-GB"/>
        </w:rPr>
        <w:t xml:space="preserve">. </w:t>
      </w:r>
      <w:r w:rsidRPr="009F54A4">
        <w:rPr>
          <w:lang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00066137">
        <w:rPr>
          <w:lang w:eastAsia="en-GB"/>
        </w:rPr>
        <w:t>”</w:t>
      </w:r>
    </w:p>
    <w:p w14:paraId="46A133B0" w14:textId="0F233F8A" w:rsidR="00066137" w:rsidRDefault="00066137" w:rsidP="002F2079">
      <w:pPr>
        <w:pStyle w:val="ParaLevel1"/>
        <w:rPr>
          <w:lang w:eastAsia="en-GB"/>
        </w:rPr>
      </w:pPr>
      <w:r>
        <w:rPr>
          <w:lang w:eastAsia="en-GB"/>
        </w:rPr>
        <w:t>Article 10 provides:</w:t>
      </w:r>
    </w:p>
    <w:p w14:paraId="53A348CD" w14:textId="122D9F99" w:rsidR="00066137" w:rsidRDefault="00066137" w:rsidP="002F2079">
      <w:pPr>
        <w:pStyle w:val="Quote"/>
        <w:rPr>
          <w:lang w:eastAsia="en-GB"/>
        </w:rPr>
      </w:pPr>
      <w:r>
        <w:rPr>
          <w:lang w:eastAsia="en-GB"/>
        </w:rPr>
        <w:t>“Article 10</w:t>
      </w:r>
    </w:p>
    <w:p w14:paraId="5962BF5B" w14:textId="7153D299" w:rsidR="00066137" w:rsidRPr="00066137" w:rsidRDefault="00066137" w:rsidP="002F2079">
      <w:pPr>
        <w:pStyle w:val="Quote"/>
        <w:rPr>
          <w:i/>
          <w:iCs/>
          <w:lang w:eastAsia="en-GB"/>
        </w:rPr>
      </w:pPr>
      <w:r w:rsidRPr="00066137">
        <w:rPr>
          <w:i/>
          <w:iCs/>
          <w:lang w:eastAsia="en-GB"/>
        </w:rPr>
        <w:t>Freedom of expression</w:t>
      </w:r>
    </w:p>
    <w:p w14:paraId="579EC76C" w14:textId="5374A0FD" w:rsidR="00066137" w:rsidRDefault="00066137" w:rsidP="002F2079">
      <w:pPr>
        <w:pStyle w:val="Quote"/>
        <w:rPr>
          <w:lang w:eastAsia="en-GB"/>
        </w:rPr>
      </w:pPr>
      <w:r>
        <w:rPr>
          <w:lang w:eastAsia="en-GB"/>
        </w:rPr>
        <w:t xml:space="preserve">1. </w:t>
      </w:r>
      <w:r w:rsidRPr="00066137">
        <w:rPr>
          <w:lang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p>
    <w:p w14:paraId="3BE0BA22" w14:textId="69DEEC81" w:rsidR="00066137" w:rsidRDefault="00066137" w:rsidP="002F2079">
      <w:pPr>
        <w:pStyle w:val="Quote"/>
        <w:rPr>
          <w:lang w:eastAsia="en-GB"/>
        </w:rPr>
      </w:pPr>
      <w:r>
        <w:rPr>
          <w:lang w:eastAsia="en-GB"/>
        </w:rPr>
        <w:t xml:space="preserve">2. </w:t>
      </w:r>
      <w:r w:rsidRPr="00066137">
        <w:rPr>
          <w:lang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Pr>
          <w:lang w:eastAsia="en-GB"/>
        </w:rPr>
        <w:t>”</w:t>
      </w:r>
    </w:p>
    <w:p w14:paraId="4F988BC3" w14:textId="4F789551" w:rsidR="00066137" w:rsidRDefault="00066137" w:rsidP="002F2079">
      <w:pPr>
        <w:pStyle w:val="ParaLevel1"/>
        <w:rPr>
          <w:lang w:eastAsia="en-GB"/>
        </w:rPr>
      </w:pPr>
      <w:r>
        <w:rPr>
          <w:lang w:eastAsia="en-GB"/>
        </w:rPr>
        <w:lastRenderedPageBreak/>
        <w:t>Article 11 provides:</w:t>
      </w:r>
    </w:p>
    <w:p w14:paraId="403E7EAD" w14:textId="05BCE05F" w:rsidR="00066137" w:rsidRDefault="00066137" w:rsidP="002F2079">
      <w:pPr>
        <w:pStyle w:val="Quote"/>
        <w:rPr>
          <w:lang w:eastAsia="en-GB"/>
        </w:rPr>
      </w:pPr>
      <w:r>
        <w:rPr>
          <w:lang w:eastAsia="en-GB"/>
        </w:rPr>
        <w:t>“Article 11</w:t>
      </w:r>
    </w:p>
    <w:p w14:paraId="041925FE" w14:textId="6470948D" w:rsidR="00066137" w:rsidRPr="00066137" w:rsidRDefault="00066137" w:rsidP="002F2079">
      <w:pPr>
        <w:pStyle w:val="Quote"/>
        <w:rPr>
          <w:i/>
          <w:iCs/>
          <w:lang w:eastAsia="en-GB"/>
        </w:rPr>
      </w:pPr>
      <w:r w:rsidRPr="00066137">
        <w:rPr>
          <w:i/>
          <w:iCs/>
          <w:lang w:eastAsia="en-GB"/>
        </w:rPr>
        <w:t>Freedom of assembly and association</w:t>
      </w:r>
    </w:p>
    <w:p w14:paraId="6B22EE83" w14:textId="0713452F" w:rsidR="00066137" w:rsidRDefault="00066137" w:rsidP="002F2079">
      <w:pPr>
        <w:pStyle w:val="Quote"/>
        <w:rPr>
          <w:lang w:eastAsia="en-GB"/>
        </w:rPr>
      </w:pPr>
      <w:r>
        <w:rPr>
          <w:lang w:eastAsia="en-GB"/>
        </w:rPr>
        <w:t xml:space="preserve">1. </w:t>
      </w:r>
      <w:r w:rsidRPr="00066137">
        <w:rPr>
          <w:lang w:eastAsia="en-GB"/>
        </w:rPr>
        <w:t>Everyone has the right to freedom of peaceful assembly and to freedom of association with others, including the right to form and to join trade unions for the protection of his interests.</w:t>
      </w:r>
    </w:p>
    <w:p w14:paraId="1C64858B" w14:textId="2AC0992B" w:rsidR="00066137" w:rsidRDefault="00066137" w:rsidP="002F2079">
      <w:pPr>
        <w:pStyle w:val="Quote"/>
        <w:rPr>
          <w:lang w:eastAsia="en-GB"/>
        </w:rPr>
      </w:pPr>
      <w:r>
        <w:rPr>
          <w:lang w:eastAsia="en-GB"/>
        </w:rPr>
        <w:t xml:space="preserve">2. </w:t>
      </w:r>
      <w:r w:rsidRPr="00066137">
        <w:rPr>
          <w:lang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Pr>
          <w:lang w:eastAsia="en-GB"/>
        </w:rPr>
        <w:t>”</w:t>
      </w:r>
    </w:p>
    <w:p w14:paraId="6D9FB7EC" w14:textId="54D964CB" w:rsidR="00066137" w:rsidRDefault="00900B60" w:rsidP="002F2079">
      <w:pPr>
        <w:pStyle w:val="ParaLevel1"/>
        <w:numPr>
          <w:ilvl w:val="0"/>
          <w:numId w:val="0"/>
        </w:numPr>
        <w:ind w:left="720" w:hanging="720"/>
        <w:rPr>
          <w:b/>
          <w:bCs/>
          <w:lang w:eastAsia="en-GB"/>
        </w:rPr>
      </w:pPr>
      <w:r>
        <w:rPr>
          <w:b/>
          <w:bCs/>
          <w:lang w:eastAsia="en-GB"/>
        </w:rPr>
        <w:t>“In accordance with the law” and “prescribed by law”</w:t>
      </w:r>
    </w:p>
    <w:p w14:paraId="28670073" w14:textId="14992E43" w:rsidR="009662EA" w:rsidRPr="00A364EC" w:rsidRDefault="009662EA" w:rsidP="002F2079">
      <w:pPr>
        <w:pStyle w:val="ParaLevel1"/>
        <w:numPr>
          <w:ilvl w:val="0"/>
          <w:numId w:val="0"/>
        </w:numPr>
        <w:rPr>
          <w:i/>
          <w:iCs/>
        </w:rPr>
      </w:pPr>
      <w:r>
        <w:rPr>
          <w:i/>
          <w:iCs/>
        </w:rPr>
        <w:t xml:space="preserve">A summary of the general principles </w:t>
      </w:r>
    </w:p>
    <w:p w14:paraId="1288F7F3" w14:textId="77777777" w:rsidR="009662EA" w:rsidRDefault="009662EA" w:rsidP="002F2079">
      <w:pPr>
        <w:pStyle w:val="ParaLevel1"/>
      </w:pPr>
      <w:r>
        <w:t xml:space="preserve">In </w:t>
      </w:r>
      <w:r w:rsidRPr="007E7365">
        <w:rPr>
          <w:i/>
          <w:iCs/>
        </w:rPr>
        <w:t>Bridges</w:t>
      </w:r>
      <w:r>
        <w:t xml:space="preserve"> the Court of Appeal at [55] endorsed the Divisional Court’s summary of the general principles relating to the IAWL test:</w:t>
      </w:r>
    </w:p>
    <w:p w14:paraId="2B9CD349" w14:textId="77777777" w:rsidR="009662EA" w:rsidRDefault="009662EA" w:rsidP="002F2079">
      <w:pPr>
        <w:pStyle w:val="Quote"/>
      </w:pPr>
      <w:r>
        <w:t>“</w:t>
      </w:r>
      <w:r w:rsidRPr="007E7365">
        <w:t>55</w:t>
      </w:r>
      <w:r>
        <w:t>.</w:t>
      </w:r>
      <w:r w:rsidRPr="007E7365">
        <w:t xml:space="preserve"> The Divisional Court set out the general principles on this issue at </w:t>
      </w:r>
      <w:r>
        <w:t>para.</w:t>
      </w:r>
      <w:r w:rsidRPr="007E7365">
        <w:t>80:</w:t>
      </w:r>
    </w:p>
    <w:p w14:paraId="3A625F3A" w14:textId="77777777" w:rsidR="009662EA" w:rsidRDefault="009662EA" w:rsidP="002F2079">
      <w:pPr>
        <w:pStyle w:val="Quote"/>
      </w:pPr>
      <w:r>
        <w:t>“</w:t>
      </w:r>
      <w:r w:rsidRPr="007E7365">
        <w:t xml:space="preserve">The general principles applicable to the </w:t>
      </w:r>
      <w:r>
        <w:t>‘</w:t>
      </w:r>
      <w:r w:rsidRPr="007E7365">
        <w:t>in accordance with the law</w:t>
      </w:r>
      <w:r>
        <w:t>’</w:t>
      </w:r>
      <w:r w:rsidRPr="007E7365">
        <w:t xml:space="preserve"> standard are well established: see generally per Lord Sumption JSC in </w:t>
      </w:r>
      <w:r w:rsidRPr="0010206D">
        <w:rPr>
          <w:i/>
          <w:iCs/>
        </w:rPr>
        <w:t>Catt</w:t>
      </w:r>
      <w:r w:rsidRPr="007E7365">
        <w:t xml:space="preserve"> [2015] AC 1065, paras 11—14; and </w:t>
      </w:r>
      <w:r w:rsidRPr="0010206D">
        <w:rPr>
          <w:i/>
          <w:iCs/>
        </w:rPr>
        <w:t>in R (P) v Secretary of State for Justice</w:t>
      </w:r>
      <w:r w:rsidRPr="007E7365">
        <w:t xml:space="preserve"> [2019] 2 WLR 509, paras 16—31. In summary, the following points apply.</w:t>
      </w:r>
    </w:p>
    <w:p w14:paraId="6AEC0763" w14:textId="77777777" w:rsidR="009662EA" w:rsidRDefault="009662EA" w:rsidP="002F2079">
      <w:pPr>
        <w:pStyle w:val="Quote"/>
      </w:pPr>
      <w:r>
        <w:t>(</w:t>
      </w:r>
      <w:r w:rsidRPr="0010206D">
        <w:t xml:space="preserve">1) The measure in question (a) must have </w:t>
      </w:r>
      <w:r>
        <w:t>‘</w:t>
      </w:r>
      <w:r w:rsidRPr="0010206D">
        <w:t>some basis in domestic la</w:t>
      </w:r>
      <w:r>
        <w:t>w’</w:t>
      </w:r>
      <w:r w:rsidRPr="0010206D">
        <w:t xml:space="preserve"> and (b) must be </w:t>
      </w:r>
      <w:r>
        <w:t>‘</w:t>
      </w:r>
      <w:r w:rsidRPr="0010206D">
        <w:t>compatible with the rule of law</w:t>
      </w:r>
      <w:r>
        <w:t>’</w:t>
      </w:r>
      <w:r w:rsidRPr="0010206D">
        <w:t xml:space="preserve">, which means that it should comply with the twin requirements of </w:t>
      </w:r>
      <w:r>
        <w:t>‘</w:t>
      </w:r>
      <w:r w:rsidRPr="0010206D">
        <w:t>accessibility</w:t>
      </w:r>
      <w:r>
        <w:t>’</w:t>
      </w:r>
      <w:r w:rsidRPr="0010206D">
        <w:t xml:space="preserve"> and </w:t>
      </w:r>
      <w:r>
        <w:t>‘</w:t>
      </w:r>
      <w:r w:rsidRPr="0010206D">
        <w:t>foreseeability</w:t>
      </w:r>
      <w:r>
        <w:t>’</w:t>
      </w:r>
      <w:r w:rsidRPr="0010206D">
        <w:t xml:space="preserve">: </w:t>
      </w:r>
      <w:r w:rsidRPr="0010206D">
        <w:rPr>
          <w:i/>
          <w:iCs/>
        </w:rPr>
        <w:t>Sunday Times v United Kingdom</w:t>
      </w:r>
      <w:r w:rsidRPr="0010206D">
        <w:t xml:space="preserve"> (1979) 2 EHRR 245; </w:t>
      </w:r>
      <w:r w:rsidRPr="0010206D">
        <w:rPr>
          <w:i/>
          <w:iCs/>
        </w:rPr>
        <w:t>Silver v United Kingdom</w:t>
      </w:r>
      <w:r w:rsidRPr="0010206D">
        <w:t xml:space="preserve"> (1983) 5 EHRR 347; and </w:t>
      </w:r>
      <w:r w:rsidRPr="0010206D">
        <w:rPr>
          <w:i/>
          <w:iCs/>
        </w:rPr>
        <w:t>Malone v United Kingdom</w:t>
      </w:r>
      <w:r w:rsidRPr="0010206D">
        <w:t xml:space="preserve"> (1984) 7 EHRR 14. </w:t>
      </w:r>
    </w:p>
    <w:p w14:paraId="7BE46090" w14:textId="77777777" w:rsidR="009662EA" w:rsidRDefault="009662EA" w:rsidP="002F2079">
      <w:pPr>
        <w:pStyle w:val="Quote"/>
      </w:pPr>
      <w:r w:rsidRPr="0010206D">
        <w:t>(2) The legal basis must</w:t>
      </w:r>
      <w:r>
        <w:t xml:space="preserve"> </w:t>
      </w:r>
      <w:r w:rsidRPr="0010206D">
        <w:t xml:space="preserve">be </w:t>
      </w:r>
      <w:r>
        <w:t>‘</w:t>
      </w:r>
      <w:r w:rsidRPr="0010206D">
        <w:t>accessible</w:t>
      </w:r>
      <w:r>
        <w:t>’</w:t>
      </w:r>
      <w:r w:rsidRPr="0010206D">
        <w:t xml:space="preserve"> to the person concerned, meaning that it must be published and comprehensible, and it must be possible to discover what its provisions are. The measure must also be </w:t>
      </w:r>
      <w:r>
        <w:t>‘</w:t>
      </w:r>
      <w:r w:rsidRPr="0010206D">
        <w:t>foreseeable</w:t>
      </w:r>
      <w:r>
        <w:t>’</w:t>
      </w:r>
      <w:r w:rsidRPr="0010206D">
        <w:t xml:space="preserve"> meaning that it must be possible for a person to foresee its consequences for them and it should not </w:t>
      </w:r>
      <w:r>
        <w:t>‘</w:t>
      </w:r>
      <w:r w:rsidRPr="0010206D">
        <w:t>confer a discretion so broad that its scope is in practice dependent on the will of those who apply it, rather</w:t>
      </w:r>
      <w:r>
        <w:t xml:space="preserve"> </w:t>
      </w:r>
      <w:r w:rsidRPr="0010206D">
        <w:t>than on the law itself</w:t>
      </w:r>
      <w:r>
        <w:t>’</w:t>
      </w:r>
      <w:r w:rsidRPr="0010206D">
        <w:t xml:space="preserve">: Lord Sumption JSC in </w:t>
      </w:r>
      <w:r>
        <w:t>[</w:t>
      </w:r>
      <w:r>
        <w:rPr>
          <w:i/>
          <w:iCs/>
        </w:rPr>
        <w:t>Gallagher</w:t>
      </w:r>
      <w:r>
        <w:t>]</w:t>
      </w:r>
      <w:r w:rsidRPr="0010206D">
        <w:t xml:space="preserve">, </w:t>
      </w:r>
      <w:r>
        <w:t>para.</w:t>
      </w:r>
      <w:r w:rsidRPr="0010206D">
        <w:t>17</w:t>
      </w:r>
      <w:r>
        <w:t>.</w:t>
      </w:r>
    </w:p>
    <w:p w14:paraId="03598168" w14:textId="77777777" w:rsidR="009662EA" w:rsidRDefault="009662EA" w:rsidP="002F2079">
      <w:pPr>
        <w:pStyle w:val="Quote"/>
      </w:pPr>
      <w:r w:rsidRPr="0010206D">
        <w:lastRenderedPageBreak/>
        <w:t xml:space="preserve">(3) Related to (2), the law must </w:t>
      </w:r>
      <w:r>
        <w:t>‘aff</w:t>
      </w:r>
      <w:r w:rsidRPr="0010206D">
        <w:t>ord adequate legal protection against arbitrariness and accordingly indicate with su</w:t>
      </w:r>
      <w:r>
        <w:t>ffi</w:t>
      </w:r>
      <w:r w:rsidRPr="0010206D">
        <w:t>cient clarity the scope of discretion conferred on the competent authorities and the manner of its exercise</w:t>
      </w:r>
      <w:r>
        <w:t>’</w:t>
      </w:r>
      <w:r w:rsidRPr="0010206D">
        <w:t xml:space="preserve">: </w:t>
      </w:r>
      <w:r w:rsidRPr="0010206D">
        <w:rPr>
          <w:i/>
          <w:iCs/>
        </w:rPr>
        <w:t>S v United Kingdom</w:t>
      </w:r>
      <w:r w:rsidRPr="0010206D">
        <w:t>, 48 EHRR 50, paras 95 and 99</w:t>
      </w:r>
      <w:r>
        <w:t>.</w:t>
      </w:r>
    </w:p>
    <w:p w14:paraId="1BC62775" w14:textId="77777777" w:rsidR="009662EA" w:rsidRDefault="009662EA" w:rsidP="002F2079">
      <w:pPr>
        <w:pStyle w:val="Quote"/>
      </w:pPr>
      <w:r w:rsidRPr="0010206D">
        <w:t xml:space="preserve">(4) Where the impugned measure is a discretionary power, (a) what is not required is </w:t>
      </w:r>
      <w:r>
        <w:t>‘</w:t>
      </w:r>
      <w:r w:rsidRPr="0010206D">
        <w:t xml:space="preserve">an over-rigid regime which does not contain the </w:t>
      </w:r>
      <w:r>
        <w:t>fl</w:t>
      </w:r>
      <w:r w:rsidRPr="0010206D">
        <w:t>exibility which is needed to avoid an unjusti</w:t>
      </w:r>
      <w:r>
        <w:t>fi</w:t>
      </w:r>
      <w:r w:rsidRPr="0010206D">
        <w:t>ed interference with a fundamental right</w:t>
      </w:r>
      <w:r>
        <w:t>’</w:t>
      </w:r>
      <w:r w:rsidRPr="0010206D">
        <w:t xml:space="preserve"> and (b) what is required is that </w:t>
      </w:r>
      <w:r>
        <w:t>‘</w:t>
      </w:r>
      <w:r w:rsidRPr="0010206D">
        <w:t>safeguards should be present in order to guard against overbroad discretion resulting in arbitrary, and thus disproportionate, interference with Convention rights</w:t>
      </w:r>
      <w:r>
        <w:t>’</w:t>
      </w:r>
      <w:r w:rsidRPr="0010206D">
        <w:t xml:space="preserve">: per Lord Hughes JSC in </w:t>
      </w:r>
      <w:proofErr w:type="spellStart"/>
      <w:r w:rsidRPr="0010206D">
        <w:rPr>
          <w:i/>
          <w:iCs/>
        </w:rPr>
        <w:t>Beghal</w:t>
      </w:r>
      <w:proofErr w:type="spellEnd"/>
      <w:r w:rsidRPr="0010206D">
        <w:rPr>
          <w:i/>
          <w:iCs/>
        </w:rPr>
        <w:t xml:space="preserve"> v Director of Public Prosecutions</w:t>
      </w:r>
      <w:r w:rsidRPr="0010206D">
        <w:t xml:space="preserve"> [2016] AC 88, paras 31 and 32. Any exercise of power that is unrestrained by law is not </w:t>
      </w:r>
      <w:r>
        <w:t>‘</w:t>
      </w:r>
      <w:r w:rsidRPr="0010206D">
        <w:t>in accordance wi</w:t>
      </w:r>
      <w:r>
        <w:t>th the law’.</w:t>
      </w:r>
    </w:p>
    <w:p w14:paraId="1BE48195" w14:textId="77777777" w:rsidR="009662EA" w:rsidRDefault="009662EA" w:rsidP="002F2079">
      <w:pPr>
        <w:pStyle w:val="Quote"/>
      </w:pPr>
      <w:r w:rsidRPr="0010206D">
        <w:t xml:space="preserve">(5) The rules governing the scope and application of measures need not be statutory, </w:t>
      </w:r>
      <w:proofErr w:type="gramStart"/>
      <w:r w:rsidRPr="0010206D">
        <w:t>provided that</w:t>
      </w:r>
      <w:proofErr w:type="gramEnd"/>
      <w:r w:rsidRPr="0010206D">
        <w:t xml:space="preserve"> they operate within a framework of law and that there are e</w:t>
      </w:r>
      <w:r>
        <w:t>ffec</w:t>
      </w:r>
      <w:r w:rsidRPr="0010206D">
        <w:t xml:space="preserve">tive means of enforcing them: per Lord Sumption JSC in </w:t>
      </w:r>
      <w:r w:rsidRPr="0010206D">
        <w:rPr>
          <w:i/>
          <w:iCs/>
        </w:rPr>
        <w:t>Catt</w:t>
      </w:r>
      <w:r>
        <w:t xml:space="preserve"> at para.11.</w:t>
      </w:r>
    </w:p>
    <w:p w14:paraId="284BEEF2" w14:textId="77777777" w:rsidR="009662EA" w:rsidRDefault="009662EA" w:rsidP="002F2079">
      <w:pPr>
        <w:pStyle w:val="Quote"/>
      </w:pPr>
      <w:r w:rsidRPr="0010206D">
        <w:t xml:space="preserve">(6) The requirement for reasonable predictability does not mean that the law </w:t>
      </w:r>
      <w:proofErr w:type="gramStart"/>
      <w:r w:rsidRPr="0010206D">
        <w:t>has to</w:t>
      </w:r>
      <w:proofErr w:type="gramEnd"/>
      <w:r w:rsidRPr="0010206D">
        <w:t xml:space="preserve"> codify answers to every possible issue: per Lord Sumption JSC in </w:t>
      </w:r>
      <w:r w:rsidRPr="0010206D">
        <w:rPr>
          <w:i/>
          <w:iCs/>
        </w:rPr>
        <w:t>Catt</w:t>
      </w:r>
      <w:r w:rsidRPr="0010206D">
        <w:t xml:space="preserve"> at </w:t>
      </w:r>
      <w:r>
        <w:t>para.</w:t>
      </w:r>
      <w:r w:rsidRPr="0010206D">
        <w:t>11.</w:t>
      </w:r>
      <w:r>
        <w:t>”</w:t>
      </w:r>
    </w:p>
    <w:p w14:paraId="041A8E23" w14:textId="77777777" w:rsidR="009662EA" w:rsidRDefault="009662EA" w:rsidP="002F2079">
      <w:pPr>
        <w:pStyle w:val="ParaLevel1"/>
      </w:pPr>
      <w:r>
        <w:rPr>
          <w:rStyle w:val="sbb9ee52a"/>
        </w:rPr>
        <w:t>It is important to note that in endorsing principles (2) and (3), the Court of Appeal accepted that the breadth of a discretion is not a freestanding test for determining whether that power is IAWL. The key issue is whether the scope of, or the conditions for exercising, the discretion are defined sufficiently clearly so as not to authorise arbitrary decision-making.</w:t>
      </w:r>
    </w:p>
    <w:p w14:paraId="09CB8E7D" w14:textId="5600B8D7" w:rsidR="009662EA" w:rsidRDefault="009662EA" w:rsidP="002F2079">
      <w:pPr>
        <w:pStyle w:val="ParaLevel1"/>
      </w:pPr>
      <w:r>
        <w:t>Principle (4) in the passage cited in [</w:t>
      </w:r>
      <w:r w:rsidR="00315A5F">
        <w:t>37</w:t>
      </w:r>
      <w:r>
        <w:t xml:space="preserve">] above was not intended to elide the distinction between IAWL and proportionality. The judgment of Lord Hughes JSC in </w:t>
      </w:r>
      <w:proofErr w:type="spellStart"/>
      <w:r>
        <w:rPr>
          <w:i/>
          <w:iCs/>
        </w:rPr>
        <w:t>Beghal</w:t>
      </w:r>
      <w:proofErr w:type="spellEnd"/>
      <w:r>
        <w:rPr>
          <w:i/>
          <w:iCs/>
        </w:rPr>
        <w:t xml:space="preserve"> </w:t>
      </w:r>
      <w:r>
        <w:t>at [31]-[32] also deals with cases where discretion or flexibility is needed as a safeguard against the automatic operation of a rule. He then explained in [33]:</w:t>
      </w:r>
    </w:p>
    <w:p w14:paraId="0AAE4F5C" w14:textId="57F8A531" w:rsidR="00A15AF0" w:rsidRDefault="009662EA" w:rsidP="002F2079">
      <w:pPr>
        <w:pStyle w:val="Quote"/>
      </w:pPr>
      <w:r>
        <w:t>“</w:t>
      </w:r>
      <w:r w:rsidRPr="0010206D">
        <w:t>In both kinds of case, the issue of legality is thus, whilst distinct from proportionality, closely linked to it. In both kinds of case, legality is a prior test which is designed to ensure that interference with Convention rights can be proportionate. It does not, however, subsume the issue of proportionality, whether the issue is the proportionality of the measure as a whole or the proportionality of its application in a particular case</w:t>
      </w:r>
      <w:r>
        <w:t>.”</w:t>
      </w:r>
    </w:p>
    <w:p w14:paraId="1351B136" w14:textId="037DC2FE" w:rsidR="007963B0" w:rsidRDefault="00AA0FA0" w:rsidP="002F2079">
      <w:pPr>
        <w:pStyle w:val="ParaLevel1"/>
      </w:pPr>
      <w:r>
        <w:t>Having set out the general principles</w:t>
      </w:r>
      <w:r w:rsidR="00553ED9">
        <w:t>, w</w:t>
      </w:r>
      <w:r w:rsidR="007963B0">
        <w:t xml:space="preserve">e turn to the relevant elements of </w:t>
      </w:r>
      <w:r>
        <w:t xml:space="preserve">IAWL in further </w:t>
      </w:r>
      <w:r w:rsidR="00553ED9">
        <w:t>detail</w:t>
      </w:r>
      <w:r>
        <w:t xml:space="preserve">. </w:t>
      </w:r>
    </w:p>
    <w:p w14:paraId="7C0F1D20" w14:textId="77777777" w:rsidR="00C907C3" w:rsidRDefault="00C907C3" w:rsidP="002F2079">
      <w:pPr>
        <w:pStyle w:val="ParaLevel1"/>
        <w:numPr>
          <w:ilvl w:val="0"/>
          <w:numId w:val="0"/>
        </w:numPr>
        <w:rPr>
          <w:i/>
          <w:iCs/>
        </w:rPr>
      </w:pPr>
    </w:p>
    <w:p w14:paraId="49A44866" w14:textId="77777777" w:rsidR="00C907C3" w:rsidRDefault="00C907C3" w:rsidP="002F2079">
      <w:pPr>
        <w:pStyle w:val="ParaLevel1"/>
        <w:numPr>
          <w:ilvl w:val="0"/>
          <w:numId w:val="0"/>
        </w:numPr>
        <w:rPr>
          <w:i/>
          <w:iCs/>
        </w:rPr>
      </w:pPr>
    </w:p>
    <w:p w14:paraId="01850C4B" w14:textId="6ADD5F77" w:rsidR="00553ED9" w:rsidRPr="00085040" w:rsidRDefault="00553ED9" w:rsidP="002F2079">
      <w:pPr>
        <w:pStyle w:val="ParaLevel1"/>
        <w:numPr>
          <w:ilvl w:val="0"/>
          <w:numId w:val="0"/>
        </w:numPr>
        <w:rPr>
          <w:i/>
          <w:iCs/>
        </w:rPr>
      </w:pPr>
      <w:r w:rsidRPr="00085040">
        <w:rPr>
          <w:i/>
          <w:iCs/>
        </w:rPr>
        <w:lastRenderedPageBreak/>
        <w:t>The source of police powers to use LFR</w:t>
      </w:r>
    </w:p>
    <w:p w14:paraId="2C65DC75" w14:textId="1C48A67E" w:rsidR="009F54A4" w:rsidRDefault="00D41BF1" w:rsidP="002F2079">
      <w:pPr>
        <w:pStyle w:val="ParaLevel1"/>
      </w:pPr>
      <w:r>
        <w:t xml:space="preserve">As set out in the quotation from </w:t>
      </w:r>
      <w:r w:rsidRPr="00085040">
        <w:rPr>
          <w:i/>
          <w:iCs/>
        </w:rPr>
        <w:t>Bridges</w:t>
      </w:r>
      <w:r>
        <w:t xml:space="preserve"> in </w:t>
      </w:r>
      <w:r w:rsidR="00315A5F">
        <w:t>[</w:t>
      </w:r>
      <w:r>
        <w:t>37</w:t>
      </w:r>
      <w:r w:rsidR="00315A5F">
        <w:t>]</w:t>
      </w:r>
      <w:r>
        <w:t xml:space="preserve"> above, </w:t>
      </w:r>
      <w:r w:rsidR="001B54C4">
        <w:t>the Policy must have some basis in domestic law</w:t>
      </w:r>
      <w:r>
        <w:t xml:space="preserve">. </w:t>
      </w:r>
      <w:r w:rsidR="001B54C4">
        <w:t xml:space="preserve"> </w:t>
      </w:r>
      <w:r w:rsidR="00066137">
        <w:t xml:space="preserve">It is </w:t>
      </w:r>
      <w:r w:rsidR="000E4419">
        <w:t xml:space="preserve">therefore </w:t>
      </w:r>
      <w:r w:rsidR="00066137">
        <w:t>appropriate to identify the source of the power</w:t>
      </w:r>
      <w:r w:rsidR="008A0F27">
        <w:t>s</w:t>
      </w:r>
      <w:r w:rsidR="00066137">
        <w:t xml:space="preserve"> of the police to use LFR. This was addressed in </w:t>
      </w:r>
      <w:r w:rsidR="00066137" w:rsidRPr="00066137">
        <w:rPr>
          <w:i/>
          <w:iCs/>
        </w:rPr>
        <w:t>Bridges</w:t>
      </w:r>
      <w:r w:rsidR="00066137">
        <w:t xml:space="preserve"> by the Divisional Court at [2019] EWHC 2341 (Admin); [2020] 1 WLR 672 at [68]-[78]. There was no dispute about that analysis in the Court of Appeal ([2020] 1 WLR</w:t>
      </w:r>
      <w:r w:rsidR="008859AE">
        <w:t xml:space="preserve"> </w:t>
      </w:r>
      <w:r w:rsidR="00D26F13">
        <w:t xml:space="preserve">5037 </w:t>
      </w:r>
      <w:r w:rsidR="00066137">
        <w:t>at [38]). Police officers owe the public a common law duty to prevent and detect crime, which include</w:t>
      </w:r>
      <w:r w:rsidR="00010B67">
        <w:t>s</w:t>
      </w:r>
      <w:r w:rsidR="00066137">
        <w:t xml:space="preserve"> taking all steps appearing to them necessary for those purposes (Divisional Court at [69]). That function can include the use, retention and disc</w:t>
      </w:r>
      <w:r w:rsidR="008A0F27">
        <w:t>losure</w:t>
      </w:r>
      <w:r w:rsidR="00066137">
        <w:t xml:space="preserve"> of </w:t>
      </w:r>
      <w:r w:rsidR="0054098A">
        <w:t>images of individuals ([70]).</w:t>
      </w:r>
    </w:p>
    <w:p w14:paraId="11DD9B57" w14:textId="16081C6F" w:rsidR="0054098A" w:rsidRDefault="0054098A" w:rsidP="002F2079">
      <w:pPr>
        <w:pStyle w:val="ParaLevel1"/>
      </w:pPr>
      <w:r>
        <w:t xml:space="preserve">In </w:t>
      </w:r>
      <w:r w:rsidRPr="0054098A">
        <w:rPr>
          <w:i/>
          <w:iCs/>
        </w:rPr>
        <w:t>R (Catt) v Association of Chief Officers of England, Wales and Northern Ireland (Equality and Human Rights Commission intervening)</w:t>
      </w:r>
      <w:r>
        <w:t xml:space="preserve"> [2015] UKSC 9; [2015] AC 1065</w:t>
      </w:r>
      <w:r w:rsidR="00010B67">
        <w:t>,</w:t>
      </w:r>
      <w:r>
        <w:t xml:space="preserve"> Lord Sumption stated at [7] that at common law the police have the power to obtain and store information for policing purposes, that is broadly speaking for the maintenance of public order and the prevention and detection of crime. But those powers do not authorise “intrusive methods” of obtaining information, such as entry onto private property or acts which would constitute an assault.</w:t>
      </w:r>
    </w:p>
    <w:p w14:paraId="304170AD" w14:textId="2911F9DB" w:rsidR="007E7365" w:rsidRDefault="007E7365" w:rsidP="002F2079">
      <w:pPr>
        <w:pStyle w:val="ParaLevel1"/>
      </w:pPr>
      <w:r>
        <w:t xml:space="preserve">The Divisional Court </w:t>
      </w:r>
      <w:r w:rsidR="000614F0">
        <w:t xml:space="preserve">in </w:t>
      </w:r>
      <w:r w:rsidR="000614F0">
        <w:rPr>
          <w:i/>
          <w:iCs/>
        </w:rPr>
        <w:t xml:space="preserve">Bridges </w:t>
      </w:r>
      <w:r>
        <w:t>went on to hold that the police may make reasonable use of a photograph of an individual for the prevention and detection of crime, the investigation of alleged offences and the apprehension of suspects unlawfully at large</w:t>
      </w:r>
      <w:r w:rsidR="00470CA4">
        <w:t>;</w:t>
      </w:r>
      <w:r>
        <w:t xml:space="preserve"> and they may do so “whether or not the photograph is of any person they seek to arrest or of a suspected accomplice or of anyone else”, so long as they make no more than reasonable use of the image for achieving those purposes [72]. Accordingly, th</w:t>
      </w:r>
      <w:r w:rsidR="009046C4">
        <w:t>ose</w:t>
      </w:r>
      <w:r>
        <w:t xml:space="preserve"> common law powers were sufficient, and the</w:t>
      </w:r>
      <w:r w:rsidR="00757815">
        <w:t xml:space="preserve"> police did not need any additional</w:t>
      </w:r>
      <w:r>
        <w:t xml:space="preserve"> statutory powers</w:t>
      </w:r>
      <w:r w:rsidR="00757815">
        <w:t xml:space="preserve">, for example, to use </w:t>
      </w:r>
      <w:r>
        <w:t>CCTV</w:t>
      </w:r>
      <w:r w:rsidR="00757815">
        <w:t xml:space="preserve"> or to use </w:t>
      </w:r>
      <w:r>
        <w:t xml:space="preserve">body-worn video, traffic </w:t>
      </w:r>
      <w:r w:rsidR="00757815">
        <w:t>and</w:t>
      </w:r>
      <w:r>
        <w:t xml:space="preserve"> ANPR cameras. </w:t>
      </w:r>
      <w:r w:rsidR="00890390">
        <w:t>However, s</w:t>
      </w:r>
      <w:r>
        <w:t xml:space="preserve">pecific statutory powers were needed for “intrusive methods” in the sense </w:t>
      </w:r>
      <w:r w:rsidR="00950A6A">
        <w:t>use</w:t>
      </w:r>
      <w:r>
        <w:t xml:space="preserve">d by Lord Sumption in </w:t>
      </w:r>
      <w:r w:rsidRPr="007E7365">
        <w:rPr>
          <w:i/>
          <w:iCs/>
        </w:rPr>
        <w:t>Catt</w:t>
      </w:r>
      <w:r>
        <w:t xml:space="preserve">, for example, to take fingerprints or a DNA swab or to obtain a warrant to enter property ([73]-[74]). </w:t>
      </w:r>
      <w:r w:rsidR="00E14236">
        <w:t>The Divisional Court then s</w:t>
      </w:r>
      <w:r w:rsidR="00CD5C47">
        <w:t xml:space="preserve">tated that </w:t>
      </w:r>
      <w:r>
        <w:t xml:space="preserve">LFR is not an “intrusive” method in the </w:t>
      </w:r>
      <w:r w:rsidR="000F4302">
        <w:t xml:space="preserve">physical </w:t>
      </w:r>
      <w:r>
        <w:t xml:space="preserve">sense used in </w:t>
      </w:r>
      <w:r w:rsidRPr="007E7365">
        <w:rPr>
          <w:i/>
          <w:iCs/>
        </w:rPr>
        <w:t>Catt</w:t>
      </w:r>
      <w:r w:rsidR="001D7C15">
        <w:t xml:space="preserve">. </w:t>
      </w:r>
    </w:p>
    <w:p w14:paraId="341ED8A5" w14:textId="565ABE96" w:rsidR="007E7365" w:rsidRDefault="007E7365" w:rsidP="002F2079">
      <w:pPr>
        <w:pStyle w:val="ParaLevel1"/>
      </w:pPr>
      <w:r>
        <w:t xml:space="preserve">The compilation of lists with photographs of sought after persons, or watchlists, </w:t>
      </w:r>
      <w:r w:rsidR="00D21E68">
        <w:t xml:space="preserve">falls within the </w:t>
      </w:r>
      <w:r>
        <w:t xml:space="preserve">statutory powers </w:t>
      </w:r>
      <w:r w:rsidR="00D21E68">
        <w:t xml:space="preserve">of the police </w:t>
      </w:r>
      <w:r>
        <w:t xml:space="preserve">in relation to arrested persons and </w:t>
      </w:r>
      <w:r w:rsidR="00D21E68">
        <w:t xml:space="preserve">their </w:t>
      </w:r>
      <w:r>
        <w:t>common law powers in relation to other persons of “</w:t>
      </w:r>
      <w:r w:rsidR="00A96703">
        <w:t>p</w:t>
      </w:r>
      <w:r>
        <w:t>ossible interest</w:t>
      </w:r>
      <w:proofErr w:type="gramStart"/>
      <w:r>
        <w:t>”</w:t>
      </w:r>
      <w:r w:rsidR="00B96B1E">
        <w:t>,</w:t>
      </w:r>
      <w:r>
        <w:t xml:space="preserve">  </w:t>
      </w:r>
      <w:r w:rsidR="008A7F32">
        <w:t>as</w:t>
      </w:r>
      <w:proofErr w:type="gramEnd"/>
      <w:r w:rsidR="008A7F32">
        <w:t xml:space="preserve"> </w:t>
      </w:r>
      <w:r>
        <w:t>steps necessary for keeping the peace, preventing crime or protecting property ([76]-[78]).</w:t>
      </w:r>
    </w:p>
    <w:p w14:paraId="10F37643" w14:textId="606114A1" w:rsidR="007E7365" w:rsidRDefault="007E7365" w:rsidP="002F2079">
      <w:pPr>
        <w:pStyle w:val="ParaLevel1"/>
      </w:pPr>
      <w:r>
        <w:t xml:space="preserve">As we have indicated, the claimants in the present case have not taken issue with any part of this analysis. Instead, the case turns on whether the legal framework governing the deployment of LFR, </w:t>
      </w:r>
      <w:r w:rsidR="0057334F">
        <w:t>primarily</w:t>
      </w:r>
      <w:r>
        <w:t xml:space="preserve"> the defendant’s September 2024 </w:t>
      </w:r>
      <w:r w:rsidR="00AE3F24">
        <w:t>Policy</w:t>
      </w:r>
      <w:r>
        <w:t xml:space="preserve">, meets the requirement of foreseeability, </w:t>
      </w:r>
      <w:proofErr w:type="gramStart"/>
      <w:r>
        <w:t>in particular that</w:t>
      </w:r>
      <w:proofErr w:type="gramEnd"/>
      <w:r>
        <w:t xml:space="preserve"> it must not permit arbitrary decision-making.</w:t>
      </w:r>
    </w:p>
    <w:p w14:paraId="6B0C3A34" w14:textId="22389A91" w:rsidR="00A30FF5" w:rsidRPr="00A30FF5" w:rsidRDefault="00A30FF5" w:rsidP="002F2079">
      <w:pPr>
        <w:pStyle w:val="ParaLevel1"/>
        <w:numPr>
          <w:ilvl w:val="0"/>
          <w:numId w:val="0"/>
        </w:numPr>
        <w:ind w:left="720" w:hanging="720"/>
        <w:rPr>
          <w:i/>
          <w:iCs/>
        </w:rPr>
      </w:pPr>
      <w:r>
        <w:rPr>
          <w:i/>
          <w:iCs/>
        </w:rPr>
        <w:t xml:space="preserve">Strasbourg and domestic jurisprudence on </w:t>
      </w:r>
      <w:r w:rsidR="00944920">
        <w:rPr>
          <w:i/>
          <w:iCs/>
        </w:rPr>
        <w:t>foreseeability</w:t>
      </w:r>
    </w:p>
    <w:p w14:paraId="4768001C" w14:textId="00CAF1FA" w:rsidR="00F00A83" w:rsidRDefault="006B26DB" w:rsidP="002F2079">
      <w:pPr>
        <w:pStyle w:val="ParaLevel1"/>
      </w:pPr>
      <w:r>
        <w:t xml:space="preserve">The claimants cited three decisions of the European Court of Human Rights (“ECtHR”) which are helpful on the concept of “foreseeability” as a </w:t>
      </w:r>
      <w:r w:rsidR="00F37A2E">
        <w:t xml:space="preserve">qualitative requirement </w:t>
      </w:r>
      <w:r>
        <w:t xml:space="preserve">of </w:t>
      </w:r>
      <w:r w:rsidR="00F37A2E">
        <w:t>law</w:t>
      </w:r>
      <w:r>
        <w:t xml:space="preserve">. </w:t>
      </w:r>
    </w:p>
    <w:p w14:paraId="365F3DEC" w14:textId="74BB102A" w:rsidR="006B26DB" w:rsidRDefault="00D54FAB" w:rsidP="002F2079">
      <w:pPr>
        <w:pStyle w:val="ParaLevel1"/>
      </w:pPr>
      <w:r w:rsidRPr="00D54FAB">
        <w:rPr>
          <w:i/>
          <w:iCs/>
        </w:rPr>
        <w:lastRenderedPageBreak/>
        <w:t>Malone v United Kingdom</w:t>
      </w:r>
      <w:r>
        <w:t xml:space="preserve"> (1984) 7 EHRR</w:t>
      </w:r>
      <w:r w:rsidR="007C143A">
        <w:t xml:space="preserve"> 14</w:t>
      </w:r>
      <w:r>
        <w:t xml:space="preserve"> was concerned with whether the regime then in place for telephone interception in the UK violated Article 8 of the ECHR. At [67] the Grand Chamber said this:</w:t>
      </w:r>
    </w:p>
    <w:p w14:paraId="3A641AC4" w14:textId="024456FD" w:rsidR="00D54FAB" w:rsidRDefault="00D54FAB" w:rsidP="002F2079">
      <w:pPr>
        <w:pStyle w:val="Quote"/>
      </w:pPr>
      <w:r>
        <w:t>“</w:t>
      </w:r>
      <w:r w:rsidRPr="00D54FAB">
        <w:t xml:space="preserve">The Court would reiterate its opinion that the phrase 'in accordance with the law' does not merely </w:t>
      </w:r>
      <w:proofErr w:type="gramStart"/>
      <w:r w:rsidRPr="00D54FAB">
        <w:t>refer back</w:t>
      </w:r>
      <w:proofErr w:type="gramEnd"/>
      <w:r w:rsidRPr="00D54FAB">
        <w:t xml:space="preserve"> to domestic law but also relates to the quality of the law, requiring it to be compatible with the rule of law, which is expressly mentioned in the preamble to the Convention</w:t>
      </w:r>
      <w:r>
        <w:t>.</w:t>
      </w:r>
      <w:r w:rsidRPr="00D54FAB">
        <w:t xml:space="preserve"> The phrase thus implies—and this follows from the object and purpose of Article 8—that there must be a measure of legal protection in domestic law against arbitrary interferences by public authorities with the rights safeguarded by paragraph 1. Especially where a power of the executive is exercised in secret, the risks of arbitrariness are evident. Undoubtedly, as the Government rightly suggested, </w:t>
      </w:r>
      <w:r w:rsidRPr="00D54FAB">
        <w:rPr>
          <w:i/>
          <w:iCs/>
        </w:rPr>
        <w:t xml:space="preserve">the requirements of the Convention, notably </w:t>
      </w:r>
      <w:proofErr w:type="gramStart"/>
      <w:r w:rsidRPr="00D54FAB">
        <w:rPr>
          <w:i/>
          <w:iCs/>
        </w:rPr>
        <w:t>in regard to</w:t>
      </w:r>
      <w:proofErr w:type="gramEnd"/>
      <w:r w:rsidRPr="00D54FAB">
        <w:rPr>
          <w:i/>
          <w:iCs/>
        </w:rPr>
        <w:t xml:space="preserve"> foreseeability, cannot be </w:t>
      </w:r>
      <w:proofErr w:type="gramStart"/>
      <w:r w:rsidRPr="00D54FAB">
        <w:rPr>
          <w:i/>
          <w:iCs/>
        </w:rPr>
        <w:t>exactly the same</w:t>
      </w:r>
      <w:proofErr w:type="gramEnd"/>
      <w:r w:rsidRPr="00D54FAB">
        <w:rPr>
          <w:i/>
          <w:iCs/>
        </w:rPr>
        <w:t xml:space="preserve"> in the special context of interception of communications for the purposes of police investigations as they are where the object of the relevant law is to place restrictions on the conduct of individuals. In particular, the requirement of foreseeability cannot mean that an individual should be enabled to foresee when the authorities are likely to intercept his communications so that he can adapt his conduct accordingly. </w:t>
      </w:r>
      <w:r w:rsidRPr="00D54FAB">
        <w:t xml:space="preserve">Nevertheless, the law must be sufficiently clear in its terms to give citizens an adequate indication </w:t>
      </w:r>
      <w:r w:rsidRPr="00D54FAB">
        <w:rPr>
          <w:i/>
          <w:iCs/>
        </w:rPr>
        <w:t>as to the circumstances in which and the conditions on which public authorities are empowered to resort to</w:t>
      </w:r>
      <w:r>
        <w:rPr>
          <w:i/>
          <w:iCs/>
        </w:rPr>
        <w:t xml:space="preserve"> </w:t>
      </w:r>
      <w:r w:rsidRPr="00D54FAB">
        <w:rPr>
          <w:i/>
          <w:iCs/>
        </w:rPr>
        <w:t>this secret and potentially dangerous interference with the right to respect for private life and correspondence.</w:t>
      </w:r>
      <w:r w:rsidRPr="00D54FAB">
        <w:t>”</w:t>
      </w:r>
      <w:r w:rsidR="00D615C0">
        <w:t xml:space="preserve">  </w:t>
      </w:r>
      <w:r>
        <w:t>(emphasis added)</w:t>
      </w:r>
    </w:p>
    <w:p w14:paraId="0FEB1CD9" w14:textId="7EBA7DAC" w:rsidR="00D54FAB" w:rsidRDefault="00D54FAB" w:rsidP="002F2079">
      <w:pPr>
        <w:pStyle w:val="ParaLevel1"/>
      </w:pPr>
      <w:r>
        <w:t>For intrusive forms of surveillance Art</w:t>
      </w:r>
      <w:r w:rsidR="009C1D8C">
        <w:t xml:space="preserve">icle </w:t>
      </w:r>
      <w:r>
        <w:t xml:space="preserve">8 does not expect that the domestic law should enable a person to see how the state’s powers will be exercised </w:t>
      </w:r>
      <w:r w:rsidRPr="00D54FAB">
        <w:rPr>
          <w:i/>
          <w:iCs/>
        </w:rPr>
        <w:t>in relation to him</w:t>
      </w:r>
      <w:r>
        <w:rPr>
          <w:i/>
          <w:iCs/>
        </w:rPr>
        <w:t xml:space="preserve"> </w:t>
      </w:r>
      <w:r>
        <w:t xml:space="preserve">so that he can adapt his conduct accordingly. Instead, the quality of law required is that the law should be sufficiently clear that citizens have an adequate indication of the circumstances and conditions in which a power may be exercised. In other words, the scheme should be sufficiently clear as to how it may be operated </w:t>
      </w:r>
      <w:proofErr w:type="gramStart"/>
      <w:r>
        <w:t>so as to</w:t>
      </w:r>
      <w:proofErr w:type="gramEnd"/>
      <w:r>
        <w:t xml:space="preserve"> avoid arbitrariness.</w:t>
      </w:r>
    </w:p>
    <w:p w14:paraId="0974738D" w14:textId="3BF5D0C0" w:rsidR="00D54FAB" w:rsidRDefault="00D54FAB" w:rsidP="002F2079">
      <w:pPr>
        <w:pStyle w:val="ParaLevel1"/>
      </w:pPr>
      <w:proofErr w:type="gramStart"/>
      <w:r>
        <w:t>So</w:t>
      </w:r>
      <w:proofErr w:type="gramEnd"/>
      <w:r>
        <w:t xml:space="preserve"> in </w:t>
      </w:r>
      <w:r w:rsidRPr="00D54FAB">
        <w:rPr>
          <w:i/>
          <w:iCs/>
        </w:rPr>
        <w:t>Rotaru v Romania</w:t>
      </w:r>
      <w:r>
        <w:t xml:space="preserve"> (2000) </w:t>
      </w:r>
      <w:r w:rsidR="00E729BC">
        <w:t xml:space="preserve">8 </w:t>
      </w:r>
      <w:r>
        <w:t>BHRC 4</w:t>
      </w:r>
      <w:r w:rsidR="00F00A83">
        <w:t>4</w:t>
      </w:r>
      <w:r>
        <w:t xml:space="preserve">9 the Intelligence Service’s system for keeping secret files on the applicant’s personal life was not </w:t>
      </w:r>
      <w:r w:rsidR="009A6A04">
        <w:t>IAWL</w:t>
      </w:r>
      <w:r>
        <w:t xml:space="preserve"> for the purposes of Art</w:t>
      </w:r>
      <w:r w:rsidR="00BD35CC">
        <w:t xml:space="preserve">icle </w:t>
      </w:r>
      <w:r>
        <w:t>8. The domestic law did not lay down limits on the exercise of the power, such as the types of information that could be recorded, the categories of people who could be the subject of surveillance, the circumstances in which the powers could be exercised, the procedure</w:t>
      </w:r>
      <w:r w:rsidR="00F00A83">
        <w:t>s</w:t>
      </w:r>
      <w:r>
        <w:t xml:space="preserve"> to be followed and the </w:t>
      </w:r>
      <w:r w:rsidR="00F00A83">
        <w:t>period</w:t>
      </w:r>
      <w:r>
        <w:t xml:space="preserve"> for which information could be kept [57]. </w:t>
      </w:r>
      <w:proofErr w:type="gramStart"/>
      <w:r>
        <w:t>Taking into account</w:t>
      </w:r>
      <w:proofErr w:type="gramEnd"/>
      <w:r>
        <w:t xml:space="preserve"> also the absence of supervision procedures [59], the Grand Chamber concluded at [61] that:</w:t>
      </w:r>
    </w:p>
    <w:p w14:paraId="7B38E6B0" w14:textId="476EDFBD" w:rsidR="00D54FAB" w:rsidRDefault="00D54FAB" w:rsidP="002F2079">
      <w:pPr>
        <w:pStyle w:val="Quote"/>
      </w:pPr>
      <w:r>
        <w:t>“</w:t>
      </w:r>
      <w:proofErr w:type="gramStart"/>
      <w:r>
        <w:t>domestic</w:t>
      </w:r>
      <w:proofErr w:type="gramEnd"/>
      <w:r>
        <w:t xml:space="preserve"> law does not indicate with reasonable clarity the scope and manner of exercise of the relevant discretion conferred on the public authorities”.</w:t>
      </w:r>
    </w:p>
    <w:p w14:paraId="65618949" w14:textId="575FBEC2" w:rsidR="00D54FAB" w:rsidRDefault="00D54FAB" w:rsidP="002F2079">
      <w:pPr>
        <w:pStyle w:val="ParaLevel1"/>
      </w:pPr>
      <w:r>
        <w:lastRenderedPageBreak/>
        <w:t>Essentially the same approach was taken by the Grand Chamber in</w:t>
      </w:r>
      <w:r w:rsidR="007C143A">
        <w:t xml:space="preserve"> </w:t>
      </w:r>
      <w:r w:rsidR="007C143A" w:rsidRPr="00E73CB1">
        <w:t>a</w:t>
      </w:r>
      <w:r>
        <w:t xml:space="preserve"> case f</w:t>
      </w:r>
      <w:r w:rsidR="007C143A">
        <w:t>ar</w:t>
      </w:r>
      <w:r>
        <w:t xml:space="preserve"> </w:t>
      </w:r>
      <w:r w:rsidR="007C143A">
        <w:t>removed</w:t>
      </w:r>
      <w:r w:rsidR="00645DB9">
        <w:t xml:space="preserve"> from </w:t>
      </w:r>
      <w:r w:rsidR="00E73CB1">
        <w:t>intrusive</w:t>
      </w:r>
      <w:r w:rsidR="00645DB9">
        <w:t xml:space="preserve"> surveillance. </w:t>
      </w:r>
      <w:r w:rsidR="00645DB9" w:rsidRPr="00645DB9">
        <w:rPr>
          <w:i/>
          <w:iCs/>
        </w:rPr>
        <w:t>Martinez v Spain</w:t>
      </w:r>
      <w:r w:rsidR="00645DB9">
        <w:t xml:space="preserve"> </w:t>
      </w:r>
      <w:r w:rsidR="00E73CB1">
        <w:t>(</w:t>
      </w:r>
      <w:r w:rsidR="00645DB9">
        <w:t>2015</w:t>
      </w:r>
      <w:r w:rsidR="00E73CB1">
        <w:t>)</w:t>
      </w:r>
      <w:r w:rsidR="00645DB9">
        <w:t xml:space="preserve"> 60 EHRR 3 was concerned with the dismissal of a religious education teacher. Under an agreement between the state and the Vatican, such teachers were to be re-appointed annually unless the relevant Bishop gave a contrary opinion. Here the</w:t>
      </w:r>
      <w:r w:rsidR="00315A5F">
        <w:t xml:space="preserve"> Pope gave the</w:t>
      </w:r>
      <w:r w:rsidR="00645DB9">
        <w:t xml:space="preserve"> applicant a dispensation from celibacy</w:t>
      </w:r>
      <w:r w:rsidR="00ED1FA3">
        <w:t xml:space="preserve"> </w:t>
      </w:r>
      <w:r w:rsidR="00645DB9">
        <w:t xml:space="preserve">which </w:t>
      </w:r>
      <w:r w:rsidR="00ED1FA3">
        <w:t>involve</w:t>
      </w:r>
      <w:r w:rsidR="00645DB9">
        <w:t xml:space="preserve">d his loss of clerical status and </w:t>
      </w:r>
      <w:r w:rsidR="00ED1FA3">
        <w:t>a prohibition on</w:t>
      </w:r>
      <w:r w:rsidR="00645DB9">
        <w:t xml:space="preserve"> teaching the Catholic religion unless the </w:t>
      </w:r>
      <w:proofErr w:type="gramStart"/>
      <w:r w:rsidR="00645DB9">
        <w:t>Bishop</w:t>
      </w:r>
      <w:proofErr w:type="gramEnd"/>
      <w:r w:rsidR="00645DB9">
        <w:t xml:space="preserve"> </w:t>
      </w:r>
      <w:r w:rsidR="00607AE1">
        <w:t xml:space="preserve">should </w:t>
      </w:r>
      <w:r w:rsidR="00645DB9">
        <w:t xml:space="preserve">decide otherwise. The </w:t>
      </w:r>
      <w:proofErr w:type="gramStart"/>
      <w:r w:rsidR="00645DB9">
        <w:t>Bishop</w:t>
      </w:r>
      <w:proofErr w:type="gramEnd"/>
      <w:r w:rsidR="00645DB9">
        <w:t xml:space="preserve"> refused to approve the continuation of the applicant’s role as a teacher of religious education. At [117] the Grand Chamber said:</w:t>
      </w:r>
    </w:p>
    <w:p w14:paraId="390EA08C" w14:textId="202C756F" w:rsidR="00645DB9" w:rsidRDefault="00645DB9" w:rsidP="002F2079">
      <w:pPr>
        <w:pStyle w:val="Quote"/>
      </w:pPr>
      <w:r>
        <w:t>“</w:t>
      </w:r>
      <w:r w:rsidRPr="00645DB9">
        <w:t xml:space="preserve">The expression </w:t>
      </w:r>
      <w:r w:rsidR="008F33CA">
        <w:t>‘</w:t>
      </w:r>
      <w:r w:rsidRPr="00645DB9">
        <w:t>in accordance with the law</w:t>
      </w:r>
      <w:r w:rsidR="008F33CA">
        <w:t>’</w:t>
      </w:r>
      <w:r w:rsidRPr="00645DB9">
        <w:t xml:space="preserve"> requires, first, that the impugned measure should have some basis in domestic law. Secondly, it refers to the quality of the law in question, requiring that it</w:t>
      </w:r>
      <w:r>
        <w:t xml:space="preserve"> </w:t>
      </w:r>
      <w:r w:rsidRPr="00645DB9">
        <w:t>should be accessible to the person concerned, who must moreover be able to foresee its consequences for him, and compatible with the rule of law.</w:t>
      </w:r>
      <w:r>
        <w:t xml:space="preserve"> </w:t>
      </w:r>
      <w:r w:rsidRPr="00645DB9">
        <w:t xml:space="preserve">The phrase thus implies, inter alia, that domestic law must be sufficiently </w:t>
      </w:r>
      <w:r w:rsidRPr="00645DB9">
        <w:rPr>
          <w:i/>
          <w:iCs/>
        </w:rPr>
        <w:t>foreseeable in its terms</w:t>
      </w:r>
      <w:r w:rsidRPr="00645DB9">
        <w:t xml:space="preserve"> to give individuals an </w:t>
      </w:r>
      <w:r w:rsidRPr="00645DB9">
        <w:rPr>
          <w:i/>
          <w:iCs/>
        </w:rPr>
        <w:t>adequate indication as to the circumstances in which and the conditions on which the authorities are entitled to resort to measures affecting their rights under the Convention.</w:t>
      </w:r>
      <w:r>
        <w:t>”</w:t>
      </w:r>
      <w:r w:rsidR="00D615C0">
        <w:t xml:space="preserve">   </w:t>
      </w:r>
      <w:r>
        <w:t>(emphasis added)</w:t>
      </w:r>
    </w:p>
    <w:p w14:paraId="6F9AEA4E" w14:textId="674517E9" w:rsidR="00645DB9" w:rsidRDefault="00645DB9" w:rsidP="002F2079">
      <w:pPr>
        <w:pStyle w:val="ParaLevel1"/>
      </w:pPr>
      <w:r>
        <w:t xml:space="preserve">The court decided that the legal arrangements in place for dealing with personal conduct satisfied the </w:t>
      </w:r>
      <w:r w:rsidR="00607AE1">
        <w:t>“</w:t>
      </w:r>
      <w:r>
        <w:t>quality of law</w:t>
      </w:r>
      <w:r w:rsidR="00607AE1">
        <w:t>”</w:t>
      </w:r>
      <w:r>
        <w:t xml:space="preserve"> test. It </w:t>
      </w:r>
      <w:r w:rsidR="00607AE1">
        <w:t>was sufficient</w:t>
      </w:r>
      <w:r>
        <w:t xml:space="preserve"> that </w:t>
      </w:r>
      <w:proofErr w:type="gramStart"/>
      <w:r>
        <w:t>on the basis of</w:t>
      </w:r>
      <w:proofErr w:type="gramEnd"/>
      <w:r>
        <w:t xml:space="preserve"> the wording of the agreement between Spain and the Vatican, the applicant could have reasonably foreseen that </w:t>
      </w:r>
      <w:r w:rsidR="00FC7283">
        <w:t xml:space="preserve">in the absence of a certificate of suitability from the </w:t>
      </w:r>
      <w:proofErr w:type="gramStart"/>
      <w:r w:rsidR="00FC7283">
        <w:t>Bishop</w:t>
      </w:r>
      <w:proofErr w:type="gramEnd"/>
      <w:r w:rsidR="00FC7283">
        <w:t>, his contract would not be renewed.</w:t>
      </w:r>
    </w:p>
    <w:p w14:paraId="571F331C" w14:textId="47FCA0E7" w:rsidR="00FC7283" w:rsidRDefault="00FC7283" w:rsidP="002F2079">
      <w:pPr>
        <w:pStyle w:val="ParaLevel1"/>
      </w:pPr>
      <w:r>
        <w:t xml:space="preserve">In </w:t>
      </w:r>
      <w:r w:rsidRPr="00FC7283">
        <w:rPr>
          <w:i/>
          <w:iCs/>
        </w:rPr>
        <w:t>Bridges</w:t>
      </w:r>
      <w:r>
        <w:rPr>
          <w:i/>
          <w:iCs/>
        </w:rPr>
        <w:t xml:space="preserve"> </w:t>
      </w:r>
      <w:r>
        <w:t xml:space="preserve">the Court of Appeal accepted at [82]-[83] that </w:t>
      </w:r>
      <w:r w:rsidR="00EA5B5F">
        <w:t>i</w:t>
      </w:r>
      <w:r w:rsidR="00C76405">
        <w:t xml:space="preserve">t is permissible to take </w:t>
      </w:r>
      <w:r>
        <w:t>a “relativist approach”</w:t>
      </w:r>
      <w:r w:rsidR="00C76405">
        <w:t xml:space="preserve"> </w:t>
      </w:r>
      <w:r>
        <w:t xml:space="preserve">to </w:t>
      </w:r>
      <w:r w:rsidR="002F7420">
        <w:t>compliance with</w:t>
      </w:r>
      <w:r>
        <w:t xml:space="preserve"> the foreseeability requirement</w:t>
      </w:r>
      <w:r w:rsidR="002F7420">
        <w:t>:</w:t>
      </w:r>
      <w:r>
        <w:t xml:space="preserve"> “… the more intrusive the act complained of, the more precise and specific must be the law said to justify it”. In this context it is necessary to </w:t>
      </w:r>
      <w:r w:rsidR="009936DA">
        <w:t xml:space="preserve">have </w:t>
      </w:r>
      <w:r>
        <w:t>in mind that the LFR regime does not involve covert surveillance, nor does it involve the regulation of a person’s conduct. Instead, it is a technique for the rapid identification of persons who are already on a police watchlist. For those who are not on a watchlist, there is no prior collection and storage of data and, where they are not matched with someone who is on a watchlist, their image is almost instantaneously deleted.</w:t>
      </w:r>
    </w:p>
    <w:p w14:paraId="001A95B1" w14:textId="7B18091B" w:rsidR="00FC7283" w:rsidRDefault="00FC7283" w:rsidP="002F2079">
      <w:pPr>
        <w:pStyle w:val="ParaLevel1"/>
      </w:pPr>
      <w:r>
        <w:t xml:space="preserve">In </w:t>
      </w:r>
      <w:r w:rsidRPr="00FC7283">
        <w:rPr>
          <w:i/>
          <w:iCs/>
        </w:rPr>
        <w:t>Gillan</w:t>
      </w:r>
      <w:r>
        <w:t xml:space="preserve"> at [34] Lord Bingham gave this pithy explanation of what is</w:t>
      </w:r>
      <w:r w:rsidR="009936DA">
        <w:t xml:space="preserve"> meant</w:t>
      </w:r>
      <w:r>
        <w:t xml:space="preserve"> by arbitrariness </w:t>
      </w:r>
      <w:r w:rsidR="001E5DFD">
        <w:t xml:space="preserve">such as to </w:t>
      </w:r>
      <w:r w:rsidR="00FA1C5C">
        <w:t>contravene the IAWL requirement</w:t>
      </w:r>
      <w:r>
        <w:t>:</w:t>
      </w:r>
    </w:p>
    <w:p w14:paraId="5201C17E" w14:textId="6CBCFA5F" w:rsidR="00FC7283" w:rsidRDefault="00FC7283" w:rsidP="002F2079">
      <w:pPr>
        <w:pStyle w:val="Quote"/>
      </w:pPr>
      <w:r>
        <w:t>“The lawfulness requirement in the Convention addresses supremely important features of the rule of law. The exercise of power by public officials, as it affects members of the public, must be governed by clear and publicly accessible rules of law. The public must not be vulnerable to interference by public officials acting on any personal whim, caprice, malice, predilection or purpose other than that for which the power was conferred. This is what, in this context, is meant by arbitrariness, which is the antithesis of legality…”</w:t>
      </w:r>
    </w:p>
    <w:p w14:paraId="69BC309B" w14:textId="5E15F61A" w:rsidR="00FC7283" w:rsidRDefault="00D86F30" w:rsidP="002F2079">
      <w:pPr>
        <w:pStyle w:val="ParaLevel1"/>
      </w:pPr>
      <w:r>
        <w:lastRenderedPageBreak/>
        <w:t>Mr</w:t>
      </w:r>
      <w:r w:rsidR="00FC7283">
        <w:t xml:space="preserve"> Squires</w:t>
      </w:r>
      <w:r w:rsidR="00210C52">
        <w:t xml:space="preserve"> repeatedly submitted</w:t>
      </w:r>
      <w:r w:rsidR="00FC7283">
        <w:t xml:space="preserve"> that this court need</w:t>
      </w:r>
      <w:r w:rsidR="00210C52">
        <w:t>s</w:t>
      </w:r>
      <w:r w:rsidR="00FC7283">
        <w:t xml:space="preserve"> to consider whether the discretion allowed to police officers operating LFR is sufficiently circumscribed or sufficiently </w:t>
      </w:r>
      <w:r w:rsidR="009A6A04" w:rsidRPr="00D615C0">
        <w:t>curtailed.</w:t>
      </w:r>
      <w:r w:rsidR="009A6A04">
        <w:t xml:space="preserve"> If public authorities are left with an “excessively broad discretion” then the relevant measure will not be IAWL. With respect, this submission </w:t>
      </w:r>
      <w:r w:rsidR="00210C52">
        <w:t xml:space="preserve">is </w:t>
      </w:r>
      <w:r w:rsidR="009A6A04">
        <w:t>itself expressed too broadly, as</w:t>
      </w:r>
      <w:r w:rsidR="00210C52">
        <w:t xml:space="preserve"> </w:t>
      </w:r>
      <w:r w:rsidR="009A6A04">
        <w:t>two citations will show.</w:t>
      </w:r>
    </w:p>
    <w:p w14:paraId="3C54C92D" w14:textId="193B6AED" w:rsidR="009A6A04" w:rsidRDefault="009A6A04" w:rsidP="002F2079">
      <w:pPr>
        <w:pStyle w:val="ParaLevel1"/>
      </w:pPr>
      <w:r>
        <w:t xml:space="preserve">The ECtHR in </w:t>
      </w:r>
      <w:r w:rsidRPr="009A6A04">
        <w:rPr>
          <w:i/>
          <w:iCs/>
        </w:rPr>
        <w:t>Gillan v United Kingdom</w:t>
      </w:r>
      <w:r>
        <w:t xml:space="preserve"> </w:t>
      </w:r>
      <w:r w:rsidR="00210C52">
        <w:t>(</w:t>
      </w:r>
      <w:r>
        <w:t>2010</w:t>
      </w:r>
      <w:r w:rsidR="00210C52">
        <w:t>)</w:t>
      </w:r>
      <w:r>
        <w:t xml:space="preserve"> 50 EHRR 45 disagreed with the decision of the House of Lords that stop and search powers under the Terrorism Act 200</w:t>
      </w:r>
      <w:r w:rsidR="00210C52">
        <w:t>0</w:t>
      </w:r>
      <w:r>
        <w:t xml:space="preserve"> were IAWL for the purposes of Article 8. After setting out the components of the </w:t>
      </w:r>
      <w:r w:rsidR="003128DC">
        <w:t>quality of law requirement</w:t>
      </w:r>
      <w:r>
        <w:t xml:space="preserve"> the ECtHR said this at [77]:</w:t>
      </w:r>
    </w:p>
    <w:p w14:paraId="26BC9D0E" w14:textId="45065F0E" w:rsidR="009A6A04" w:rsidRDefault="009A6A04" w:rsidP="002F2079">
      <w:pPr>
        <w:pStyle w:val="Quote"/>
      </w:pPr>
      <w:r>
        <w:t>“</w:t>
      </w:r>
      <w:r w:rsidRPr="009A6A04">
        <w:t xml:space="preserve">For domestic law to meet these requirements it must afford a measure of legal protection against arbitrary interferences by public authorities with the rights safeguarded by the Convention. In matters affecting fundamental rights it would be contrary to the rule of law, one of the basic principles of a democratic society enshrined in the Convention, for a legal discretion granted to the executive to be </w:t>
      </w:r>
      <w:r w:rsidRPr="009A6A04">
        <w:rPr>
          <w:i/>
          <w:iCs/>
        </w:rPr>
        <w:t>expressed in terms of an unfettered power. Consequently, the law must indicate with sufficient clarity the scope of any such discretion conferred on the competent authorities and the manner of its exercise.</w:t>
      </w:r>
      <w:r>
        <w:t xml:space="preserve"> </w:t>
      </w:r>
      <w:r w:rsidRPr="00D1661E">
        <w:rPr>
          <w:i/>
          <w:iCs/>
        </w:rPr>
        <w:t>The level of precision required of domestic legislation—which cannot in any case provide for every eventuality—depends to a considerable degree on the content of the instrument in question, the field it is designed to cover and the number and status of those to whom it is addressed.</w:t>
      </w:r>
      <w:r>
        <w:t>”</w:t>
      </w:r>
      <w:r w:rsidR="00210C52">
        <w:t xml:space="preserve">  </w:t>
      </w:r>
      <w:r>
        <w:t>(emphasis added)</w:t>
      </w:r>
    </w:p>
    <w:p w14:paraId="1F48AE60" w14:textId="639FF087" w:rsidR="009A6A04" w:rsidRDefault="00210C52" w:rsidP="002F2079">
      <w:pPr>
        <w:pStyle w:val="ParaLevel1"/>
      </w:pPr>
      <w:r>
        <w:t xml:space="preserve">In </w:t>
      </w:r>
      <w:r>
        <w:rPr>
          <w:i/>
          <w:iCs/>
        </w:rPr>
        <w:t xml:space="preserve">Gillan </w:t>
      </w:r>
      <w:r>
        <w:t>t</w:t>
      </w:r>
      <w:r w:rsidR="009A6A04">
        <w:t xml:space="preserve">he guidance given to individual police officers on the use of stop and search focused on the </w:t>
      </w:r>
      <w:proofErr w:type="gramStart"/>
      <w:r w:rsidR="009A6A04" w:rsidRPr="009A6A04">
        <w:rPr>
          <w:i/>
          <w:iCs/>
        </w:rPr>
        <w:t>manner</w:t>
      </w:r>
      <w:r w:rsidR="009A6A04">
        <w:rPr>
          <w:i/>
          <w:iCs/>
        </w:rPr>
        <w:t xml:space="preserve"> </w:t>
      </w:r>
      <w:r w:rsidR="009A6A04">
        <w:t>in which</w:t>
      </w:r>
      <w:proofErr w:type="gramEnd"/>
      <w:r w:rsidR="009A6A04">
        <w:t xml:space="preserve"> it should be carried out rather than giving any criteria for, or imposing any restriction</w:t>
      </w:r>
      <w:r w:rsidR="001241FB">
        <w:t xml:space="preserve"> on</w:t>
      </w:r>
      <w:r w:rsidR="00B90CCF">
        <w:t>,</w:t>
      </w:r>
      <w:r w:rsidR="009A6A04">
        <w:t xml:space="preserve"> an officer’s </w:t>
      </w:r>
      <w:r w:rsidR="009A6A04" w:rsidRPr="00CD536A">
        <w:rPr>
          <w:i/>
          <w:iCs/>
        </w:rPr>
        <w:t xml:space="preserve">decision </w:t>
      </w:r>
      <w:r w:rsidR="009A6A04">
        <w:t>to stop and search. That decision was based exclusively on the “hunch” or “professional intuition” of the officer concerned. There was no requirement for the officer to be able to show a reasonable suspicion, or even a subjective suspicion, of anything to justify the use of the power [83]. It is therefore understandable that the Court referred in [77] to unfettered power.</w:t>
      </w:r>
    </w:p>
    <w:p w14:paraId="37F4C961" w14:textId="3B87C693" w:rsidR="009A6A04" w:rsidRDefault="009A6A04" w:rsidP="002F2079">
      <w:pPr>
        <w:pStyle w:val="ParaLevel1"/>
      </w:pPr>
      <w:r>
        <w:t>Consequently, the ECtHR concluded that the grant of such a broad discretion to a police officer, as described, carried with it a clear risk of arbitrariness [85]. In other words, the Court did not conclude that Article 8 was violated simply because</w:t>
      </w:r>
      <w:r w:rsidR="001314F3">
        <w:t xml:space="preserve"> </w:t>
      </w:r>
      <w:r w:rsidRPr="00EE6313">
        <w:t>the</w:t>
      </w:r>
      <w:r w:rsidR="00EE6313" w:rsidRPr="00EE6313">
        <w:t xml:space="preserve"> discretionary power was</w:t>
      </w:r>
      <w:r w:rsidRPr="00EE6313">
        <w:t xml:space="preserve"> “insufficiently </w:t>
      </w:r>
      <w:r w:rsidR="00DF22D1" w:rsidRPr="00EE6313">
        <w:t>circumscribed”.</w:t>
      </w:r>
      <w:r w:rsidR="00DF22D1">
        <w:t xml:space="preserve"> Instead, the key part of the reasoning was that the </w:t>
      </w:r>
      <w:r w:rsidR="0040456B">
        <w:t xml:space="preserve">unfettered or </w:t>
      </w:r>
      <w:r w:rsidR="00DF22D1">
        <w:t xml:space="preserve">unconstrained </w:t>
      </w:r>
      <w:r w:rsidR="009C39F6">
        <w:t>nature of the</w:t>
      </w:r>
      <w:r w:rsidR="0040456B">
        <w:t xml:space="preserve"> </w:t>
      </w:r>
      <w:r w:rsidR="00DF22D1">
        <w:t xml:space="preserve">power given to officers allowed </w:t>
      </w:r>
      <w:r w:rsidR="009C39F6">
        <w:t xml:space="preserve">them to make </w:t>
      </w:r>
      <w:r w:rsidR="00DF22D1">
        <w:t>arbitrary decisions.</w:t>
      </w:r>
      <w:r w:rsidR="0040456B">
        <w:t xml:space="preserve"> Arbitrariness</w:t>
      </w:r>
      <w:r w:rsidR="00DF22D1">
        <w:t xml:space="preserve"> is the touchstone for deciding whether this part of the </w:t>
      </w:r>
      <w:r w:rsidR="000350BA">
        <w:t>quality of law test</w:t>
      </w:r>
      <w:r w:rsidR="00DF22D1">
        <w:t xml:space="preserve"> is </w:t>
      </w:r>
      <w:r w:rsidR="000350BA">
        <w:t>satisfied</w:t>
      </w:r>
      <w:r w:rsidR="00DF22D1">
        <w:t xml:space="preserve"> or breached. The same principle can be seen at work in the most recent Strasbourg decision cited to us, </w:t>
      </w:r>
      <w:r w:rsidR="00DF22D1" w:rsidRPr="00DF22D1">
        <w:rPr>
          <w:i/>
          <w:iCs/>
        </w:rPr>
        <w:t>AR v United Kingdom</w:t>
      </w:r>
      <w:r w:rsidR="00DF22D1">
        <w:rPr>
          <w:i/>
          <w:iCs/>
        </w:rPr>
        <w:t xml:space="preserve"> </w:t>
      </w:r>
      <w:r w:rsidR="00DF22D1">
        <w:t>Application No. 6033/19, 1 July 2025 at [60]-[68].</w:t>
      </w:r>
    </w:p>
    <w:p w14:paraId="0D1E9477" w14:textId="5BAA84CB" w:rsidR="00DF22D1" w:rsidRDefault="00DF22D1" w:rsidP="002F2079">
      <w:pPr>
        <w:pStyle w:val="ParaLevel1"/>
      </w:pPr>
      <w:r w:rsidRPr="00DF22D1">
        <w:rPr>
          <w:i/>
          <w:iCs/>
        </w:rPr>
        <w:t>Gillan</w:t>
      </w:r>
      <w:r>
        <w:t xml:space="preserve"> may be contrasted with </w:t>
      </w:r>
      <w:r w:rsidRPr="00DF22D1">
        <w:rPr>
          <w:i/>
          <w:iCs/>
        </w:rPr>
        <w:t>R (Roberts) v Commissioner of Police of the Metropolis</w:t>
      </w:r>
      <w:r>
        <w:t xml:space="preserve"> [2015] UKSC 79; [2016] 1 WLR 210, where the Supreme Court considered the more detailed constraints imposed on stop and search powers directed towards knife crime and the use of other offensive weapons. The exercise of the power had </w:t>
      </w:r>
      <w:r w:rsidR="00F07BED" w:rsidRPr="00DF22D1">
        <w:rPr>
          <w:i/>
          <w:iCs/>
        </w:rPr>
        <w:t>inter alia</w:t>
      </w:r>
      <w:r w:rsidR="00F07BED">
        <w:t xml:space="preserve"> </w:t>
      </w:r>
      <w:r>
        <w:t xml:space="preserve">to be based upon </w:t>
      </w:r>
      <w:r w:rsidR="00085DFF">
        <w:t xml:space="preserve">a </w:t>
      </w:r>
      <w:r>
        <w:t>reasonable belief in grounds</w:t>
      </w:r>
      <w:r w:rsidR="00085DFF">
        <w:t xml:space="preserve">, </w:t>
      </w:r>
      <w:r w:rsidR="001C0469">
        <w:t>supported by evidence</w:t>
      </w:r>
      <w:r w:rsidR="00343A20">
        <w:t>, which made</w:t>
      </w:r>
      <w:r>
        <w:t xml:space="preserve"> the use of that power necessary and proportionate to the danger contemplated. </w:t>
      </w:r>
      <w:r w:rsidR="001E0657">
        <w:t xml:space="preserve">The </w:t>
      </w:r>
      <w:r w:rsidR="001E0657">
        <w:lastRenderedPageBreak/>
        <w:t xml:space="preserve">authorisation had to cover a defined area for a limited </w:t>
      </w:r>
      <w:proofErr w:type="gramStart"/>
      <w:r w:rsidR="001E0657">
        <w:t>period of time</w:t>
      </w:r>
      <w:proofErr w:type="gramEnd"/>
      <w:r w:rsidR="001E0657">
        <w:t xml:space="preserve">. </w:t>
      </w:r>
      <w:r>
        <w:t>A written record had to be kept of th</w:t>
      </w:r>
      <w:r w:rsidR="001E0657">
        <w:t>e</w:t>
      </w:r>
      <w:r>
        <w:t xml:space="preserve"> ground</w:t>
      </w:r>
      <w:r w:rsidR="00525749">
        <w:t>s and material</w:t>
      </w:r>
      <w:r>
        <w:t xml:space="preserve"> </w:t>
      </w:r>
      <w:r w:rsidR="00C14766">
        <w:t>relied upon</w:t>
      </w:r>
      <w:r>
        <w:t xml:space="preserve">. </w:t>
      </w:r>
      <w:r w:rsidR="00CE7B66">
        <w:t>When making a stop the office</w:t>
      </w:r>
      <w:r w:rsidR="00BD7B93">
        <w:t>r</w:t>
      </w:r>
      <w:r w:rsidR="00CE7B66">
        <w:t xml:space="preserve"> </w:t>
      </w:r>
      <w:r w:rsidR="00BD7B93">
        <w:t>was required</w:t>
      </w:r>
      <w:r w:rsidR="00CE7B66">
        <w:t xml:space="preserve"> </w:t>
      </w:r>
      <w:r w:rsidR="00CE7B66">
        <w:rPr>
          <w:i/>
          <w:iCs/>
        </w:rPr>
        <w:t xml:space="preserve">inter </w:t>
      </w:r>
      <w:r w:rsidR="00CE7B66" w:rsidRPr="00D16671">
        <w:rPr>
          <w:i/>
          <w:iCs/>
        </w:rPr>
        <w:t>alia</w:t>
      </w:r>
      <w:r w:rsidR="00CE7B66">
        <w:t xml:space="preserve"> </w:t>
      </w:r>
      <w:r w:rsidR="00BD7B93">
        <w:t xml:space="preserve">to </w:t>
      </w:r>
      <w:r w:rsidR="00CE7B66">
        <w:t>explain to the person concerned the power under which he was acting</w:t>
      </w:r>
      <w:r w:rsidR="00885445">
        <w:t>, the object of the search and why he was doing it.</w:t>
      </w:r>
      <w:r w:rsidR="00CE7B66">
        <w:t xml:space="preserve"> </w:t>
      </w:r>
      <w:r w:rsidRPr="00CE7B66">
        <w:t>The</w:t>
      </w:r>
      <w:r>
        <w:t xml:space="preserve"> Court held that the law was IAWL and compatible with Convention rights. The</w:t>
      </w:r>
      <w:r w:rsidR="003A044B">
        <w:t>y considered that these</w:t>
      </w:r>
      <w:r>
        <w:t xml:space="preserve"> </w:t>
      </w:r>
      <w:r w:rsidR="00885445">
        <w:t xml:space="preserve">various </w:t>
      </w:r>
      <w:r>
        <w:t xml:space="preserve">requirements </w:t>
      </w:r>
      <w:r w:rsidR="003A044B">
        <w:t>w</w:t>
      </w:r>
      <w:r>
        <w:t>ould make it possible to assess whether there was compliance</w:t>
      </w:r>
      <w:r w:rsidR="00E362F2">
        <w:t xml:space="preserve"> with Article 8</w:t>
      </w:r>
      <w:r>
        <w:t xml:space="preserve"> in practice</w:t>
      </w:r>
      <w:r w:rsidR="00684EE3">
        <w:t xml:space="preserve"> </w:t>
      </w:r>
      <w:r>
        <w:t>[42]-[48].</w:t>
      </w:r>
    </w:p>
    <w:p w14:paraId="3656030B" w14:textId="7817F146" w:rsidR="00DF22D1" w:rsidRDefault="00DF22D1" w:rsidP="002F2079">
      <w:pPr>
        <w:pStyle w:val="ParaLevel1"/>
      </w:pPr>
      <w:r w:rsidRPr="00DF22D1">
        <w:t>In</w:t>
      </w:r>
      <w:r>
        <w:rPr>
          <w:i/>
          <w:iCs/>
        </w:rPr>
        <w:t xml:space="preserve"> In Re Gallagher</w:t>
      </w:r>
      <w:r>
        <w:t xml:space="preserve"> Lord Sumption </w:t>
      </w:r>
      <w:r w:rsidRPr="00E362F2">
        <w:t>JSC said</w:t>
      </w:r>
      <w:r w:rsidR="00E362F2">
        <w:t xml:space="preserve"> at [17]</w:t>
      </w:r>
      <w:r w:rsidRPr="00E362F2">
        <w:t>:</w:t>
      </w:r>
    </w:p>
    <w:p w14:paraId="155DF963" w14:textId="517619C9" w:rsidR="00DF22D1" w:rsidRDefault="00DF22D1" w:rsidP="002F2079">
      <w:pPr>
        <w:pStyle w:val="Quote"/>
      </w:pPr>
      <w:r>
        <w:t>“</w:t>
      </w:r>
      <w:r w:rsidRPr="00DF22D1">
        <w:rPr>
          <w:b/>
          <w:bCs/>
        </w:rPr>
        <w:t>.</w:t>
      </w:r>
      <w:r>
        <w:t xml:space="preserve"> …</w:t>
      </w:r>
      <w:r w:rsidRPr="00DF22D1">
        <w:rPr>
          <w:szCs w:val="24"/>
        </w:rPr>
        <w:t xml:space="preserve"> </w:t>
      </w:r>
      <w:r w:rsidRPr="00DF22D1">
        <w:t xml:space="preserve">The requirement of foreseeability, so far as it adds to the requirement of accessibility, is essentially concerned with the principle summed up in the adage of the American founding father John Adams, </w:t>
      </w:r>
      <w:r>
        <w:t>“</w:t>
      </w:r>
      <w:r w:rsidRPr="00DF22D1">
        <w:t>a government of laws and not of men</w:t>
      </w:r>
      <w:r>
        <w:t>”</w:t>
      </w:r>
      <w:r w:rsidRPr="00DF22D1">
        <w:t>. A measure is not</w:t>
      </w:r>
      <w:r>
        <w:t xml:space="preserve"> “</w:t>
      </w:r>
      <w:r w:rsidRPr="00DF22D1">
        <w:t>in accordance with the law</w:t>
      </w:r>
      <w:r>
        <w:t>”</w:t>
      </w:r>
      <w:r w:rsidRPr="00DF22D1">
        <w:t xml:space="preserve"> if it purports to authorise an exercise of power unconstrained by law. </w:t>
      </w:r>
      <w:r w:rsidRPr="00E27413">
        <w:rPr>
          <w:i/>
          <w:iCs/>
        </w:rPr>
        <w:t>The measure must not therefore confer a discretion so broad that its scope is in practice dependent on the will of those who apply it, rather than on the law itself. Nor should it be couched in terms so vague or so general as to produce substantially the same effect in practice.</w:t>
      </w:r>
      <w:r w:rsidR="00E27413" w:rsidRPr="00E27413">
        <w:rPr>
          <w:i/>
          <w:iCs/>
        </w:rPr>
        <w:t xml:space="preserve"> </w:t>
      </w:r>
      <w:r w:rsidR="00E27413" w:rsidRPr="00E27413">
        <w:t>The breadth of a measure and the absence of safeguards for the rights of individuals are relevant to its quality as law where the measure confers discretions, in terms or in practice, which make its e</w:t>
      </w:r>
      <w:r w:rsidR="00E27413">
        <w:t>ff</w:t>
      </w:r>
      <w:r w:rsidR="00E27413" w:rsidRPr="00E27413">
        <w:t>ects insu</w:t>
      </w:r>
      <w:r w:rsidR="00E27413">
        <w:t>ffi</w:t>
      </w:r>
      <w:r w:rsidR="00E27413" w:rsidRPr="00E27413">
        <w:t xml:space="preserve">ciently foreseeable. </w:t>
      </w:r>
      <w:proofErr w:type="gramStart"/>
      <w:r w:rsidR="00E27413" w:rsidRPr="00E27413">
        <w:rPr>
          <w:i/>
          <w:iCs/>
        </w:rPr>
        <w:t>Thus</w:t>
      </w:r>
      <w:proofErr w:type="gramEnd"/>
      <w:r w:rsidR="00E27413" w:rsidRPr="00E27413">
        <w:rPr>
          <w:i/>
          <w:iCs/>
        </w:rPr>
        <w:t xml:space="preserve"> a power whose exercise is dependent on the judgment of an official as to when, in what circumstances or against whom to apply it, must be sufficiently constrained by some legal rule governing the principles on which that decision is to be made.</w:t>
      </w:r>
      <w:r w:rsidR="00E27413" w:rsidRPr="00E27413">
        <w:t xml:space="preserve"> But a legal rule imposing a duty to take some action in every case to which the rule applies does not necessarily give rise to the same problem. It may give rise to a di</w:t>
      </w:r>
      <w:r w:rsidR="00E27413">
        <w:t>ff</w:t>
      </w:r>
      <w:r w:rsidR="00E27413" w:rsidRPr="00E27413">
        <w:t xml:space="preserve">erent problem when it comes to necessity and proportionality, but that is another issue. </w:t>
      </w:r>
      <w:r w:rsidR="00E27413" w:rsidRPr="00D04875">
        <w:t xml:space="preserve">If the question is how much discretion </w:t>
      </w:r>
      <w:proofErr w:type="gramStart"/>
      <w:r w:rsidR="00E27413" w:rsidRPr="00D04875">
        <w:t>is too much</w:t>
      </w:r>
      <w:proofErr w:type="gramEnd"/>
      <w:r w:rsidR="00E27413" w:rsidRPr="00D04875">
        <w:t>, the only legal tool available for resolving it is a proportionality test which, unlike the test of legality, is a question of degree</w:t>
      </w:r>
      <w:r w:rsidR="00E27413">
        <w:t>.”</w:t>
      </w:r>
      <w:r w:rsidR="001D327E">
        <w:t xml:space="preserve">  </w:t>
      </w:r>
      <w:r w:rsidR="00E27413">
        <w:t>(emphasis added)</w:t>
      </w:r>
    </w:p>
    <w:p w14:paraId="7D8F2707" w14:textId="6B1BCDB8" w:rsidR="00E27413" w:rsidRDefault="00E27413" w:rsidP="002F2079">
      <w:pPr>
        <w:pStyle w:val="ParaLevel1"/>
      </w:pPr>
      <w:r>
        <w:t>Thus, the mere fact that a discretionary power is br</w:t>
      </w:r>
      <w:r w:rsidR="00F83547">
        <w:t>oad is insufficient to</w:t>
      </w:r>
      <w:r>
        <w:t xml:space="preserve"> make that power </w:t>
      </w:r>
      <w:r w:rsidR="00F83547">
        <w:t>not</w:t>
      </w:r>
      <w:r>
        <w:t xml:space="preserve"> IAWL. A key question </w:t>
      </w:r>
      <w:r w:rsidR="00564679">
        <w:t>remai</w:t>
      </w:r>
      <w:r w:rsidR="001C58AB">
        <w:t>ns</w:t>
      </w:r>
      <w:r>
        <w:t xml:space="preserve"> whether the</w:t>
      </w:r>
      <w:r w:rsidR="002802C4">
        <w:t xml:space="preserve"> exercise of the </w:t>
      </w:r>
      <w:r>
        <w:t>power is subject to principles, whether set out in law</w:t>
      </w:r>
      <w:r w:rsidR="001C58AB">
        <w:t xml:space="preserve">, </w:t>
      </w:r>
      <w:r>
        <w:t>policy</w:t>
      </w:r>
      <w:r w:rsidR="00D211A4">
        <w:t xml:space="preserve"> or a combination of the two</w:t>
      </w:r>
      <w:r>
        <w:t>, which suffice to prevent decisions being depend</w:t>
      </w:r>
      <w:r w:rsidR="00772CBA">
        <w:t>e</w:t>
      </w:r>
      <w:r>
        <w:t xml:space="preserve">nt on the will of the decision-maker, or arbitrary (as explained by Lord Bingham in </w:t>
      </w:r>
      <w:r w:rsidRPr="00E27413">
        <w:rPr>
          <w:i/>
          <w:iCs/>
        </w:rPr>
        <w:t>Gillan</w:t>
      </w:r>
      <w:r>
        <w:t>).</w:t>
      </w:r>
      <w:r w:rsidR="006B3FD1">
        <w:t xml:space="preserve"> </w:t>
      </w:r>
    </w:p>
    <w:p w14:paraId="54AD5147" w14:textId="4B8F4C4D" w:rsidR="00A7003F" w:rsidRPr="00842FD8" w:rsidRDefault="00A7003F" w:rsidP="002F2079">
      <w:pPr>
        <w:pStyle w:val="ParaLevel1"/>
        <w:numPr>
          <w:ilvl w:val="0"/>
          <w:numId w:val="0"/>
        </w:numPr>
        <w:rPr>
          <w:i/>
          <w:iCs/>
        </w:rPr>
      </w:pPr>
      <w:r w:rsidRPr="00A7003F">
        <w:rPr>
          <w:i/>
          <w:iCs/>
        </w:rPr>
        <w:t xml:space="preserve">Bridges </w:t>
      </w:r>
      <w:r w:rsidRPr="00842FD8">
        <w:rPr>
          <w:i/>
          <w:iCs/>
        </w:rPr>
        <w:t>in the Divisional Court</w:t>
      </w:r>
    </w:p>
    <w:p w14:paraId="68176529" w14:textId="013646B4" w:rsidR="00A7003F" w:rsidRDefault="00A7003F" w:rsidP="002F2079">
      <w:pPr>
        <w:pStyle w:val="ParaLevel1"/>
      </w:pPr>
      <w:r>
        <w:t xml:space="preserve">The Divisional Court decided that the use of LFR does entail interference with Article 8 rights [52]-[62]. Although the mere taking </w:t>
      </w:r>
      <w:r w:rsidR="00D760FC">
        <w:t xml:space="preserve">of </w:t>
      </w:r>
      <w:r>
        <w:t xml:space="preserve">a photograph </w:t>
      </w:r>
      <w:r w:rsidR="00D760FC">
        <w:t xml:space="preserve">by the police </w:t>
      </w:r>
      <w:r>
        <w:t>of a citizen in a public place would not amount to such an interference</w:t>
      </w:r>
      <w:r w:rsidR="00D760FC">
        <w:t>,</w:t>
      </w:r>
      <w:r>
        <w:t xml:space="preserve"> LFR goes further. Each image is analysed and biometric facial data extracted. That represents unique</w:t>
      </w:r>
      <w:r w:rsidR="00B12F36">
        <w:t xml:space="preserve"> </w:t>
      </w:r>
      <w:r>
        <w:t xml:space="preserve">information </w:t>
      </w:r>
      <w:r w:rsidR="00B12F36">
        <w:t>which identifies</w:t>
      </w:r>
      <w:r>
        <w:t xml:space="preserve"> a person. The dat</w:t>
      </w:r>
      <w:r w:rsidR="00521E82">
        <w:t>a</w:t>
      </w:r>
      <w:r>
        <w:t xml:space="preserve"> is then used to make a comparison with persons on the police watchlist [54] and [56]-[57]. The fact that, save where a match is </w:t>
      </w:r>
      <w:r>
        <w:lastRenderedPageBreak/>
        <w:t xml:space="preserve">detected, an individual’s facial information is retained for only a very short period before being discarded, is </w:t>
      </w:r>
      <w:r w:rsidR="00763CBA">
        <w:t xml:space="preserve">nevertheless </w:t>
      </w:r>
      <w:r>
        <w:t>sufficient to involve an interference with Article 8 [59].</w:t>
      </w:r>
    </w:p>
    <w:p w14:paraId="4A1BC8C9" w14:textId="2AF02AE4" w:rsidR="00A7003F" w:rsidRDefault="00A7003F" w:rsidP="002F2079">
      <w:pPr>
        <w:pStyle w:val="ParaLevel1"/>
      </w:pPr>
      <w:r>
        <w:t xml:space="preserve">The Divisional Court dealt with the IAWL issue at [63]-[97]. It first decided that the police had proper legal powers to authorise the use of LFR [68]-[78]. </w:t>
      </w:r>
    </w:p>
    <w:p w14:paraId="514EE0D4" w14:textId="125452C4" w:rsidR="00A7003F" w:rsidRDefault="00763CBA" w:rsidP="002F2079">
      <w:pPr>
        <w:pStyle w:val="ParaLevel1"/>
      </w:pPr>
      <w:r>
        <w:t>At this point, it</w:t>
      </w:r>
      <w:r w:rsidR="00A7003F">
        <w:t xml:space="preserve"> is </w:t>
      </w:r>
      <w:r>
        <w:t>wo</w:t>
      </w:r>
      <w:r w:rsidR="00A7003F">
        <w:t xml:space="preserve">rth noting that the claimant, also represented by </w:t>
      </w:r>
      <w:r w:rsidR="00D86F30">
        <w:t>Mr</w:t>
      </w:r>
      <w:r w:rsidR="00A7003F">
        <w:t xml:space="preserve"> Squires, submitted that absent certain safeguards</w:t>
      </w:r>
      <w:r>
        <w:t>,</w:t>
      </w:r>
      <w:r w:rsidR="00A7003F">
        <w:t xml:space="preserve"> the use of LFR w</w:t>
      </w:r>
      <w:r w:rsidR="00166881">
        <w:t>ould not be</w:t>
      </w:r>
      <w:r w:rsidR="00A7003F">
        <w:t xml:space="preserve"> IAWL (see [64])</w:t>
      </w:r>
      <w:r>
        <w:t xml:space="preserve">. </w:t>
      </w:r>
      <w:r w:rsidR="00762FBC">
        <w:t>He submitted that</w:t>
      </w:r>
      <w:r>
        <w:t xml:space="preserve"> those safeguards were:</w:t>
      </w:r>
    </w:p>
    <w:p w14:paraId="7CA0D28F" w14:textId="59494332" w:rsidR="00A7003F" w:rsidRDefault="004F5563" w:rsidP="002F2079">
      <w:pPr>
        <w:pStyle w:val="ParaLevel1"/>
        <w:numPr>
          <w:ilvl w:val="0"/>
          <w:numId w:val="22"/>
        </w:numPr>
      </w:pPr>
      <w:r>
        <w:t xml:space="preserve">A </w:t>
      </w:r>
      <w:r w:rsidR="00A7003F">
        <w:t xml:space="preserve">requirement that LFR </w:t>
      </w:r>
      <w:r w:rsidR="00166881">
        <w:t xml:space="preserve">may </w:t>
      </w:r>
      <w:r w:rsidR="00A7003F">
        <w:t xml:space="preserve">only be deployed where there is a reasonable suspicion or a real probability that persons sought may be in the location for </w:t>
      </w:r>
      <w:proofErr w:type="gramStart"/>
      <w:r w:rsidR="00A7003F">
        <w:t>deployment;</w:t>
      </w:r>
      <w:proofErr w:type="gramEnd"/>
    </w:p>
    <w:p w14:paraId="2021EB36" w14:textId="2D427026" w:rsidR="00A7003F" w:rsidRDefault="004F5563" w:rsidP="002F2079">
      <w:pPr>
        <w:pStyle w:val="ParaLevel1"/>
        <w:numPr>
          <w:ilvl w:val="0"/>
          <w:numId w:val="22"/>
        </w:numPr>
      </w:pPr>
      <w:r>
        <w:t>A</w:t>
      </w:r>
      <w:r w:rsidR="00A7003F">
        <w:t xml:space="preserve"> restriction on deployment to places such as airports or large public gatherings such as sporting </w:t>
      </w:r>
      <w:proofErr w:type="gramStart"/>
      <w:r w:rsidR="00A7003F">
        <w:t>events;</w:t>
      </w:r>
      <w:proofErr w:type="gramEnd"/>
    </w:p>
    <w:p w14:paraId="316804A6" w14:textId="363EDFF7" w:rsidR="00A7003F" w:rsidRDefault="004F5563" w:rsidP="002F2079">
      <w:pPr>
        <w:pStyle w:val="ParaLevel1"/>
        <w:numPr>
          <w:ilvl w:val="0"/>
          <w:numId w:val="22"/>
        </w:numPr>
      </w:pPr>
      <w:r>
        <w:t>A</w:t>
      </w:r>
      <w:r w:rsidR="00A7003F">
        <w:t xml:space="preserve"> restriction on the classes of people who may be on a watchlist, i.e. “serious criminals at large</w:t>
      </w:r>
      <w:proofErr w:type="gramStart"/>
      <w:r w:rsidR="00A7003F">
        <w:t>”;</w:t>
      </w:r>
      <w:proofErr w:type="gramEnd"/>
    </w:p>
    <w:p w14:paraId="703DE971" w14:textId="1446A2B1" w:rsidR="00A7003F" w:rsidRDefault="004F5563" w:rsidP="002F2079">
      <w:pPr>
        <w:pStyle w:val="ParaLevel1"/>
        <w:numPr>
          <w:ilvl w:val="0"/>
          <w:numId w:val="22"/>
        </w:numPr>
      </w:pPr>
      <w:r>
        <w:t>S</w:t>
      </w:r>
      <w:r w:rsidR="00A7003F">
        <w:t>pecification of the sources from which images included in a watchlist may be obtained;</w:t>
      </w:r>
      <w:r>
        <w:t xml:space="preserve"> and </w:t>
      </w:r>
    </w:p>
    <w:p w14:paraId="30706690" w14:textId="3FD3A2A9" w:rsidR="00A7003F" w:rsidRDefault="004F5563" w:rsidP="002F2079">
      <w:pPr>
        <w:pStyle w:val="ParaLevel1"/>
        <w:numPr>
          <w:ilvl w:val="0"/>
          <w:numId w:val="22"/>
        </w:numPr>
      </w:pPr>
      <w:r>
        <w:t>C</w:t>
      </w:r>
      <w:r w:rsidR="00A7003F">
        <w:t xml:space="preserve">lear rules </w:t>
      </w:r>
      <w:r w:rsidR="00571E08">
        <w:t>relating to</w:t>
      </w:r>
      <w:r w:rsidR="00A7003F">
        <w:t xml:space="preserve"> biometric data obtained from LFR</w:t>
      </w:r>
      <w:r w:rsidR="00571E08">
        <w:t>, such as the purposes for which it</w:t>
      </w:r>
      <w:r w:rsidR="008242B4">
        <w:t xml:space="preserve"> </w:t>
      </w:r>
      <w:r w:rsidR="00A7003F">
        <w:t>may</w:t>
      </w:r>
      <w:r w:rsidR="00571E08">
        <w:t xml:space="preserve"> or may not</w:t>
      </w:r>
      <w:r w:rsidR="00A7003F">
        <w:t xml:space="preserve"> be used and for how long it may be retained.</w:t>
      </w:r>
    </w:p>
    <w:p w14:paraId="126C0FA9" w14:textId="2B1D2CE7" w:rsidR="00F83547" w:rsidRDefault="00F83547" w:rsidP="002F2079">
      <w:pPr>
        <w:pStyle w:val="ParaLevel1"/>
        <w:numPr>
          <w:ilvl w:val="0"/>
          <w:numId w:val="0"/>
        </w:numPr>
        <w:ind w:left="720"/>
      </w:pPr>
      <w:r>
        <w:t xml:space="preserve">Point (5) has been addressed in our description above of the way in which LFR is deployed, which does not differ materially from the explanation accepted by the court in </w:t>
      </w:r>
      <w:r w:rsidRPr="00F83547">
        <w:rPr>
          <w:i/>
          <w:iCs/>
        </w:rPr>
        <w:t>Bridges</w:t>
      </w:r>
      <w:r>
        <w:t>. More importantly for present purposes, neither the Divisional Court nor the Court of Appeal considered (1) to (4) to be necessary for the use of LFR to be IAWL.</w:t>
      </w:r>
    </w:p>
    <w:p w14:paraId="4287A695" w14:textId="4A020A99" w:rsidR="00521E82" w:rsidRDefault="00D807A1" w:rsidP="002F2079">
      <w:pPr>
        <w:pStyle w:val="ParaLevel1"/>
      </w:pPr>
      <w:r>
        <w:t>At [85]-[97] t</w:t>
      </w:r>
      <w:r w:rsidR="00521E82">
        <w:t>he Divisional Court reviewed the various components of the legal framework governing the use</w:t>
      </w:r>
      <w:r>
        <w:t xml:space="preserve"> of LFR by South Wales Police. </w:t>
      </w:r>
      <w:r w:rsidR="00521E82">
        <w:t>It comprised:</w:t>
      </w:r>
    </w:p>
    <w:p w14:paraId="69D2F0E3" w14:textId="1019D314" w:rsidR="00521E82" w:rsidRDefault="00521E82" w:rsidP="002F2079">
      <w:pPr>
        <w:pStyle w:val="ParaLevel1"/>
        <w:numPr>
          <w:ilvl w:val="0"/>
          <w:numId w:val="27"/>
        </w:numPr>
      </w:pPr>
      <w:r>
        <w:t xml:space="preserve">Primary legislation, notably the Data Protection Act </w:t>
      </w:r>
      <w:proofErr w:type="gramStart"/>
      <w:r>
        <w:t>2018;</w:t>
      </w:r>
      <w:proofErr w:type="gramEnd"/>
    </w:p>
    <w:p w14:paraId="655C8AF2" w14:textId="3879ABE1" w:rsidR="00521E82" w:rsidRDefault="00521E82" w:rsidP="002F2079">
      <w:pPr>
        <w:pStyle w:val="ParaLevel1"/>
        <w:numPr>
          <w:ilvl w:val="0"/>
          <w:numId w:val="27"/>
        </w:numPr>
      </w:pPr>
      <w:r>
        <w:t>Secondary legislation, notably the Surveillance Camera Code of Practice;</w:t>
      </w:r>
      <w:r w:rsidR="00843A04">
        <w:t xml:space="preserve"> and</w:t>
      </w:r>
    </w:p>
    <w:p w14:paraId="5D22B947" w14:textId="6BF6756F" w:rsidR="00521E82" w:rsidRDefault="00521E82" w:rsidP="002F2079">
      <w:pPr>
        <w:pStyle w:val="ParaLevel1"/>
        <w:numPr>
          <w:ilvl w:val="0"/>
          <w:numId w:val="27"/>
        </w:numPr>
      </w:pPr>
      <w:r>
        <w:t>The</w:t>
      </w:r>
      <w:r w:rsidR="00843A04">
        <w:t xml:space="preserve"> force’s</w:t>
      </w:r>
      <w:r>
        <w:t xml:space="preserve"> policies, </w:t>
      </w:r>
      <w:r w:rsidR="00843A04">
        <w:t>namely</w:t>
      </w:r>
      <w:r>
        <w:t xml:space="preserve"> the Standard Operating Procedure, Policy on Sensitive Processing and Deployment Reports.</w:t>
      </w:r>
    </w:p>
    <w:p w14:paraId="1CE692F2" w14:textId="744BE05A" w:rsidR="00A7003F" w:rsidRDefault="00A7003F" w:rsidP="002F2079">
      <w:pPr>
        <w:pStyle w:val="ParaLevel1"/>
      </w:pPr>
      <w:r>
        <w:t>The Divisional Court concluded that taking these matters together, the in</w:t>
      </w:r>
      <w:r w:rsidR="009461D4">
        <w:t>terference with</w:t>
      </w:r>
      <w:r>
        <w:t xml:space="preserve"> Article 8 rights </w:t>
      </w:r>
      <w:proofErr w:type="gramStart"/>
      <w:r>
        <w:t>through the use of</w:t>
      </w:r>
      <w:proofErr w:type="gramEnd"/>
      <w:r>
        <w:t xml:space="preserve"> LFR </w:t>
      </w:r>
      <w:r w:rsidR="00843A04">
        <w:t>was governed by</w:t>
      </w:r>
      <w:r>
        <w:t xml:space="preserve"> a legal framework sufficient to </w:t>
      </w:r>
      <w:r w:rsidR="00F83547">
        <w:t xml:space="preserve">be </w:t>
      </w:r>
      <w:r>
        <w:t>IAWL. The court concluded that it was neither necessary nor practical for the framework to define precise circumstances in which LFR might be used, such as which offences could just</w:t>
      </w:r>
      <w:r w:rsidR="00843A04">
        <w:t>ify</w:t>
      </w:r>
      <w:r>
        <w:t xml:space="preserve"> including </w:t>
      </w:r>
      <w:r w:rsidR="000021AF">
        <w:t xml:space="preserve">a </w:t>
      </w:r>
      <w:r>
        <w:t xml:space="preserve">person on a </w:t>
      </w:r>
      <w:r w:rsidR="00842FD8">
        <w:t>watchlist or what the “sensitivity settings” should be [96].</w:t>
      </w:r>
    </w:p>
    <w:p w14:paraId="03E10D46" w14:textId="39DCE6E0" w:rsidR="00842FD8" w:rsidRPr="00842FD8" w:rsidRDefault="00842FD8" w:rsidP="002F2079">
      <w:pPr>
        <w:pStyle w:val="ParaLevel1"/>
        <w:rPr>
          <w:i/>
          <w:iCs/>
        </w:rPr>
      </w:pPr>
      <w:r>
        <w:t>The Divisional Court went on to reject the claimant</w:t>
      </w:r>
      <w:r w:rsidR="00142226">
        <w:t>’s</w:t>
      </w:r>
      <w:r>
        <w:t xml:space="preserve"> contention that his Article 8 rights had been violated applying the proportionality test in </w:t>
      </w:r>
      <w:r w:rsidRPr="00842FD8">
        <w:rPr>
          <w:i/>
          <w:iCs/>
        </w:rPr>
        <w:t xml:space="preserve">Bank </w:t>
      </w:r>
      <w:proofErr w:type="spellStart"/>
      <w:r w:rsidRPr="00842FD8">
        <w:rPr>
          <w:i/>
          <w:iCs/>
        </w:rPr>
        <w:t>Mellat</w:t>
      </w:r>
      <w:proofErr w:type="spellEnd"/>
      <w:r w:rsidRPr="00842FD8">
        <w:rPr>
          <w:i/>
          <w:iCs/>
        </w:rPr>
        <w:t xml:space="preserve"> v HM Treasury</w:t>
      </w:r>
      <w:r>
        <w:rPr>
          <w:i/>
          <w:iCs/>
        </w:rPr>
        <w:t xml:space="preserve"> (No.2) </w:t>
      </w:r>
      <w:r>
        <w:t xml:space="preserve">[2013] UKSC 39; [2014] AC 700. The court concluded </w:t>
      </w:r>
      <w:r w:rsidRPr="00842FD8">
        <w:rPr>
          <w:i/>
          <w:iCs/>
        </w:rPr>
        <w:t>inter alia</w:t>
      </w:r>
      <w:r>
        <w:rPr>
          <w:i/>
          <w:iCs/>
        </w:rPr>
        <w:t xml:space="preserve"> </w:t>
      </w:r>
      <w:r>
        <w:t xml:space="preserve">that any </w:t>
      </w:r>
      <w:r>
        <w:lastRenderedPageBreak/>
        <w:t>interference with the claimant’s Article 8 rights would have been very limited. It would have been restricted to the near instantaneous algorithmic processing and discarding of his facial biometric data. No personal information would have been available to any police officer or human agent. No data would have been retained [101].</w:t>
      </w:r>
    </w:p>
    <w:p w14:paraId="32B5DE3C" w14:textId="143AB908" w:rsidR="00842FD8" w:rsidRDefault="00842FD8" w:rsidP="002F2079">
      <w:pPr>
        <w:pStyle w:val="ParaLevel1"/>
        <w:numPr>
          <w:ilvl w:val="0"/>
          <w:numId w:val="0"/>
        </w:numPr>
        <w:rPr>
          <w:i/>
          <w:iCs/>
        </w:rPr>
      </w:pPr>
      <w:r w:rsidRPr="00842FD8">
        <w:rPr>
          <w:i/>
          <w:iCs/>
        </w:rPr>
        <w:t>Bridges in the Court of Appeal</w:t>
      </w:r>
    </w:p>
    <w:p w14:paraId="06200A9A" w14:textId="45448566" w:rsidR="00842FD8" w:rsidRDefault="00842FD8" w:rsidP="002F2079">
      <w:pPr>
        <w:pStyle w:val="ParaLevel1"/>
      </w:pPr>
      <w:r>
        <w:t>The Court of Appeal disagreed with the Divisional Court on the IAWL issue</w:t>
      </w:r>
      <w:r w:rsidR="008A059B">
        <w:t>,</w:t>
      </w:r>
      <w:r>
        <w:t xml:space="preserve"> but </w:t>
      </w:r>
      <w:r w:rsidR="00F83547">
        <w:t xml:space="preserve">they </w:t>
      </w:r>
      <w:r>
        <w:t>agreed that there had not been a</w:t>
      </w:r>
      <w:r w:rsidR="000021AF">
        <w:t>ny</w:t>
      </w:r>
      <w:r>
        <w:t xml:space="preserve"> violation of the claimant’s Article 8 rights. </w:t>
      </w:r>
    </w:p>
    <w:p w14:paraId="19AE1E9D" w14:textId="18D2FB3E" w:rsidR="00842FD8" w:rsidRDefault="000021AF" w:rsidP="002F2079">
      <w:pPr>
        <w:pStyle w:val="ParaLevel1"/>
      </w:pPr>
      <w:r>
        <w:t xml:space="preserve">Although </w:t>
      </w:r>
      <w:r w:rsidR="00842FD8">
        <w:t xml:space="preserve">LFR </w:t>
      </w:r>
      <w:r w:rsidR="005432EC">
        <w:t>may be</w:t>
      </w:r>
      <w:r w:rsidR="00842FD8">
        <w:t xml:space="preserve"> a potentially evolving technology, the Court of Appeal stated that it was neither necessary nor helpful for </w:t>
      </w:r>
      <w:r w:rsidR="00C60991">
        <w:t>the court</w:t>
      </w:r>
      <w:r w:rsidR="00842FD8">
        <w:t xml:space="preserve"> to </w:t>
      </w:r>
      <w:r w:rsidR="00C60991">
        <w:t xml:space="preserve">be asked to </w:t>
      </w:r>
      <w:r w:rsidR="00842FD8">
        <w:t xml:space="preserve">consider hypothetical scenarios which may arise in the future. Whether other uses by the police of LFR in the future will be lawful would be a matter to be considered </w:t>
      </w:r>
      <w:r w:rsidR="005432EC">
        <w:t xml:space="preserve">at that stage </w:t>
      </w:r>
      <w:r w:rsidR="00842FD8">
        <w:t xml:space="preserve">if the facts of such a case should arise in practice [60]. </w:t>
      </w:r>
      <w:proofErr w:type="gramStart"/>
      <w:r w:rsidR="00842FD8">
        <w:t>So</w:t>
      </w:r>
      <w:proofErr w:type="gramEnd"/>
      <w:r w:rsidR="00842FD8">
        <w:t xml:space="preserve"> </w:t>
      </w:r>
      <w:r w:rsidR="00CF2F83">
        <w:t xml:space="preserve">we decline to take up the claimant’s invitation </w:t>
      </w:r>
      <w:r w:rsidR="00D02E15">
        <w:t xml:space="preserve">to </w:t>
      </w:r>
      <w:r w:rsidR="001243A7">
        <w:t xml:space="preserve">consider </w:t>
      </w:r>
      <w:r w:rsidR="00F43FA6">
        <w:t xml:space="preserve">consequences which could </w:t>
      </w:r>
      <w:r w:rsidR="001C1573">
        <w:t xml:space="preserve">flow </w:t>
      </w:r>
      <w:r w:rsidR="00F43FA6">
        <w:t xml:space="preserve">in future from </w:t>
      </w:r>
      <w:r w:rsidR="00842FD8">
        <w:t>permanent cam</w:t>
      </w:r>
      <w:r w:rsidR="00F65572">
        <w:t>er</w:t>
      </w:r>
      <w:r w:rsidR="00842FD8">
        <w:t>a</w:t>
      </w:r>
      <w:r w:rsidR="00F65572">
        <w:t xml:space="preserve"> system</w:t>
      </w:r>
      <w:r w:rsidR="001243A7">
        <w:t>s</w:t>
      </w:r>
      <w:r w:rsidR="00842FD8">
        <w:t xml:space="preserve"> </w:t>
      </w:r>
      <w:r w:rsidR="001243A7">
        <w:t>(such</w:t>
      </w:r>
      <w:r w:rsidR="00D02E15">
        <w:t xml:space="preserve"> as </w:t>
      </w:r>
      <w:r w:rsidR="001C1573">
        <w:t>the one recently installed in part of</w:t>
      </w:r>
      <w:r w:rsidR="001243A7">
        <w:t xml:space="preserve"> Croydon)</w:t>
      </w:r>
      <w:r w:rsidR="00842FD8">
        <w:t xml:space="preserve"> or the suggestion that L</w:t>
      </w:r>
      <w:r w:rsidR="00521E82">
        <w:t>F</w:t>
      </w:r>
      <w:r w:rsidR="00842FD8">
        <w:t xml:space="preserve">R </w:t>
      </w:r>
      <w:r w:rsidR="00521E82">
        <w:t>c</w:t>
      </w:r>
      <w:r w:rsidR="00842FD8">
        <w:t>ould be li</w:t>
      </w:r>
      <w:r w:rsidR="00F65572">
        <w:t>nk</w:t>
      </w:r>
      <w:r w:rsidR="00842FD8">
        <w:t>ed to CCTV systems.</w:t>
      </w:r>
      <w:r w:rsidR="009B6E35">
        <w:t xml:space="preserve"> That would involve speculation.</w:t>
      </w:r>
    </w:p>
    <w:p w14:paraId="09F0FE48" w14:textId="3C86D9B6" w:rsidR="00842FD8" w:rsidRDefault="00842FD8" w:rsidP="002F2079">
      <w:pPr>
        <w:pStyle w:val="ParaLevel1"/>
      </w:pPr>
      <w:r>
        <w:t xml:space="preserve">The issue in </w:t>
      </w:r>
      <w:r w:rsidRPr="00842FD8">
        <w:rPr>
          <w:i/>
          <w:iCs/>
        </w:rPr>
        <w:t>Bridges</w:t>
      </w:r>
      <w:r>
        <w:t xml:space="preserve"> related to the deployment of LFR </w:t>
      </w:r>
      <w:proofErr w:type="gramStart"/>
      <w:r>
        <w:t>in the area of</w:t>
      </w:r>
      <w:proofErr w:type="gramEnd"/>
      <w:r>
        <w:t xml:space="preserve"> one police force. It is well-established that an adequate legal framework may rely on policies which</w:t>
      </w:r>
      <w:r w:rsidR="0093292E">
        <w:t xml:space="preserve"> are</w:t>
      </w:r>
      <w:r>
        <w:t xml:space="preserve"> local rather than national</w:t>
      </w:r>
      <w:r w:rsidR="00FF0100">
        <w:t xml:space="preserve"> in coverage</w:t>
      </w:r>
      <w:r>
        <w:t xml:space="preserve"> [61].</w:t>
      </w:r>
    </w:p>
    <w:p w14:paraId="4CE8A3CF" w14:textId="17AF97BD" w:rsidR="00842FD8" w:rsidRDefault="00571E08" w:rsidP="002F2079">
      <w:pPr>
        <w:pStyle w:val="ParaLevel1"/>
      </w:pPr>
      <w:r>
        <w:t xml:space="preserve">The LFR regime in that case </w:t>
      </w:r>
      <w:r w:rsidR="00842FD8">
        <w:t>involve</w:t>
      </w:r>
      <w:r>
        <w:t>d</w:t>
      </w:r>
      <w:r w:rsidR="00842FD8">
        <w:t xml:space="preserve"> overt, not covert, surveillance [64]. But LFR is not simply analogous to the police taking photographs of people in a public place or the use of CCTV cameras. The Court of Appeal decided at [85] that LFR </w:t>
      </w:r>
      <w:r w:rsidR="00674F53">
        <w:t>“</w:t>
      </w:r>
      <w:r w:rsidR="00842FD8">
        <w:t xml:space="preserve">falls somewhere </w:t>
      </w:r>
      <w:r w:rsidR="00674F53">
        <w:t xml:space="preserve">in </w:t>
      </w:r>
      <w:r w:rsidR="00842FD8">
        <w:t>between the two poles on a spectrum</w:t>
      </w:r>
      <w:r w:rsidR="000F6C2C">
        <w:t>”</w:t>
      </w:r>
      <w:r w:rsidR="00842FD8">
        <w:t xml:space="preserve"> represented by </w:t>
      </w:r>
      <w:r w:rsidR="00842FD8" w:rsidRPr="00842FD8">
        <w:rPr>
          <w:i/>
          <w:iCs/>
        </w:rPr>
        <w:t xml:space="preserve">S </w:t>
      </w:r>
      <w:r w:rsidR="00FC741B">
        <w:rPr>
          <w:i/>
          <w:iCs/>
        </w:rPr>
        <w:t xml:space="preserve">and </w:t>
      </w:r>
      <w:proofErr w:type="spellStart"/>
      <w:r w:rsidR="00FC741B">
        <w:rPr>
          <w:i/>
          <w:iCs/>
        </w:rPr>
        <w:t>Marper</w:t>
      </w:r>
      <w:proofErr w:type="spellEnd"/>
      <w:r w:rsidR="00FC741B">
        <w:rPr>
          <w:i/>
          <w:iCs/>
        </w:rPr>
        <w:t xml:space="preserve"> </w:t>
      </w:r>
      <w:r w:rsidR="00842FD8" w:rsidRPr="00842FD8">
        <w:rPr>
          <w:i/>
          <w:iCs/>
        </w:rPr>
        <w:t>v United Kingdom</w:t>
      </w:r>
      <w:r w:rsidR="00842FD8">
        <w:t xml:space="preserve"> CE: ECHR: 2008: I204; </w:t>
      </w:r>
      <w:r w:rsidR="00FC741B">
        <w:t xml:space="preserve">(2008) </w:t>
      </w:r>
      <w:r w:rsidR="00842FD8">
        <w:t xml:space="preserve">48 EHRR 50 and </w:t>
      </w:r>
      <w:r w:rsidR="00842FD8" w:rsidRPr="00842FD8">
        <w:rPr>
          <w:i/>
          <w:iCs/>
        </w:rPr>
        <w:t>R (Catt) v Association of Chief Police Officers</w:t>
      </w:r>
      <w:r w:rsidR="00842FD8">
        <w:t xml:space="preserve"> [2015] UKSC 9; [2015] AC 1065</w:t>
      </w:r>
      <w:r w:rsidR="00FF06A4">
        <w:t>;</w:t>
      </w:r>
      <w:r w:rsidR="00681135">
        <w:t xml:space="preserve"> (2019) 69 EHRR 7</w:t>
      </w:r>
      <w:r w:rsidR="00842FD8">
        <w:t xml:space="preserve">. </w:t>
      </w:r>
      <w:r w:rsidR="00842FD8" w:rsidRPr="00842FD8">
        <w:rPr>
          <w:i/>
          <w:iCs/>
        </w:rPr>
        <w:t xml:space="preserve">S </w:t>
      </w:r>
      <w:r w:rsidR="00842FD8">
        <w:t xml:space="preserve">was concerned with the retention of fingerprints and DNA samples. </w:t>
      </w:r>
      <w:r w:rsidR="00842FD8" w:rsidRPr="00842FD8">
        <w:rPr>
          <w:i/>
          <w:iCs/>
        </w:rPr>
        <w:t>Catt</w:t>
      </w:r>
      <w:r w:rsidR="00842FD8">
        <w:t xml:space="preserve"> concerned the collection, retention and use of </w:t>
      </w:r>
      <w:r w:rsidR="00EB08FC">
        <w:t>information</w:t>
      </w:r>
      <w:r w:rsidR="00842FD8">
        <w:t xml:space="preserve"> on an “extremism database”, which included participation in demonstrations, some involv</w:t>
      </w:r>
      <w:r w:rsidR="00EB08FC">
        <w:t xml:space="preserve">ing </w:t>
      </w:r>
      <w:r w:rsidR="00842FD8">
        <w:t xml:space="preserve">serious disorder and criminality, although not on the applicant’s part. However, it should be noted that in both cases the ECtHR did not rule on the IAWL issue. Instead, each claimant succeeded on proportionality </w:t>
      </w:r>
      <w:r w:rsidR="009B78C5">
        <w:t>grounds</w:t>
      </w:r>
      <w:r w:rsidR="00842FD8">
        <w:t>.</w:t>
      </w:r>
    </w:p>
    <w:p w14:paraId="6055CE6E" w14:textId="19D8B754" w:rsidR="00842FD8" w:rsidRDefault="00842FD8" w:rsidP="002F2079">
      <w:pPr>
        <w:pStyle w:val="ParaLevel1"/>
      </w:pPr>
      <w:r>
        <w:t xml:space="preserve">The Court of Appeal’s positioning of LFR on its </w:t>
      </w:r>
      <w:r w:rsidR="00A5260B">
        <w:t>spectrum involved the following factors [85]-[89]:</w:t>
      </w:r>
    </w:p>
    <w:p w14:paraId="010ABD02" w14:textId="04A53D71" w:rsidR="00C63C37" w:rsidRDefault="00C63C37" w:rsidP="002F2079">
      <w:pPr>
        <w:pStyle w:val="ParaLevel1"/>
        <w:numPr>
          <w:ilvl w:val="0"/>
          <w:numId w:val="28"/>
        </w:numPr>
      </w:pPr>
      <w:r>
        <w:t xml:space="preserve">LFR is a novel </w:t>
      </w:r>
      <w:proofErr w:type="gramStart"/>
      <w:r>
        <w:t>technology;</w:t>
      </w:r>
      <w:proofErr w:type="gramEnd"/>
    </w:p>
    <w:p w14:paraId="0BB528E9" w14:textId="71C4F32A" w:rsidR="00DD6B11" w:rsidRDefault="00C63C37" w:rsidP="002F2079">
      <w:pPr>
        <w:pStyle w:val="ParaLevel1"/>
        <w:numPr>
          <w:ilvl w:val="0"/>
          <w:numId w:val="28"/>
        </w:numPr>
      </w:pPr>
      <w:r>
        <w:t xml:space="preserve">It involves capturing the images and processing of digital information of </w:t>
      </w:r>
      <w:proofErr w:type="gramStart"/>
      <w:r>
        <w:t>a large number of</w:t>
      </w:r>
      <w:proofErr w:type="gramEnd"/>
      <w:r>
        <w:t xml:space="preserve"> members of the public the vast majority of whom are of no interest whatsoever to the </w:t>
      </w:r>
      <w:proofErr w:type="gramStart"/>
      <w:r>
        <w:t>police;</w:t>
      </w:r>
      <w:proofErr w:type="gramEnd"/>
    </w:p>
    <w:p w14:paraId="3AF88093" w14:textId="2549E401" w:rsidR="006F0D55" w:rsidRDefault="006F0D55" w:rsidP="002F2079">
      <w:pPr>
        <w:pStyle w:val="ParaLevel1"/>
        <w:numPr>
          <w:ilvl w:val="0"/>
          <w:numId w:val="28"/>
        </w:numPr>
      </w:pPr>
      <w:r>
        <w:t>The data used is recognised by data protection legislation as “sensitive”, unlike ordinary photographs;</w:t>
      </w:r>
      <w:r w:rsidR="00D81466">
        <w:t xml:space="preserve"> and</w:t>
      </w:r>
    </w:p>
    <w:p w14:paraId="593A52CC" w14:textId="0ED2B6F1" w:rsidR="0010206D" w:rsidRDefault="006F0D55" w:rsidP="002F2079">
      <w:pPr>
        <w:pStyle w:val="ParaLevel1"/>
        <w:numPr>
          <w:ilvl w:val="0"/>
          <w:numId w:val="28"/>
        </w:numPr>
      </w:pPr>
      <w:r>
        <w:t>The data is processed in an automated manner.</w:t>
      </w:r>
    </w:p>
    <w:p w14:paraId="1E17C687" w14:textId="77777777" w:rsidR="00DD008C" w:rsidRDefault="00DD008C" w:rsidP="002F2079">
      <w:pPr>
        <w:pStyle w:val="ParaLevel1"/>
        <w:numPr>
          <w:ilvl w:val="0"/>
          <w:numId w:val="0"/>
        </w:numPr>
        <w:ind w:left="720"/>
      </w:pPr>
      <w:r>
        <w:lastRenderedPageBreak/>
        <w:t>In addition, it is relevant that the biometric data is not obtained by any intrusive technique, such as bugging or DNA sampling [77].</w:t>
      </w:r>
    </w:p>
    <w:p w14:paraId="6ADA6178" w14:textId="6A11F894" w:rsidR="00EE63B9" w:rsidRDefault="00EE63B9" w:rsidP="002F2079">
      <w:pPr>
        <w:pStyle w:val="ParaLevel1"/>
      </w:pPr>
      <w:r>
        <w:t xml:space="preserve">The Court of Appeal </w:t>
      </w:r>
      <w:r w:rsidR="000B7921">
        <w:t>concluded that</w:t>
      </w:r>
      <w:r>
        <w:t xml:space="preserve"> the legal framework </w:t>
      </w:r>
      <w:r w:rsidR="00A23EBC">
        <w:t xml:space="preserve">applicable in South Wales </w:t>
      </w:r>
      <w:r w:rsidR="000B7921">
        <w:t xml:space="preserve">lacked </w:t>
      </w:r>
      <w:r>
        <w:t>the quality of law</w:t>
      </w:r>
      <w:r w:rsidR="00A23EBC">
        <w:t xml:space="preserve"> needed</w:t>
      </w:r>
      <w:r w:rsidR="00657FFB">
        <w:t xml:space="preserve"> to avoid arbitrariness. The</w:t>
      </w:r>
      <w:r w:rsidR="000B7921">
        <w:t>y had</w:t>
      </w:r>
      <w:r w:rsidR="00657FFB">
        <w:t xml:space="preserve"> two areas of concern, the “who question” and the “</w:t>
      </w:r>
      <w:r w:rsidR="00C76707">
        <w:t xml:space="preserve">where question”. It was not clear </w:t>
      </w:r>
      <w:r w:rsidR="00C76707" w:rsidRPr="00D63261">
        <w:rPr>
          <w:i/>
          <w:iCs/>
        </w:rPr>
        <w:t xml:space="preserve">who </w:t>
      </w:r>
      <w:r w:rsidR="00C76707">
        <w:t xml:space="preserve">could be placed on the watchlist, nor was it clear that there were </w:t>
      </w:r>
      <w:r w:rsidR="00C76707" w:rsidRPr="00C76707">
        <w:rPr>
          <w:i/>
          <w:iCs/>
        </w:rPr>
        <w:t>any</w:t>
      </w:r>
      <w:r w:rsidR="00C76707">
        <w:t xml:space="preserve"> criteria for determining </w:t>
      </w:r>
      <w:r w:rsidR="00C76707" w:rsidRPr="00D63261">
        <w:rPr>
          <w:i/>
          <w:iCs/>
        </w:rPr>
        <w:t xml:space="preserve">where </w:t>
      </w:r>
      <w:r w:rsidR="00C76707">
        <w:t>LFR could be deployed. Significantly, the Court found that data protection legislation and the LFR policies merely required that deployment should be necessary for a proper law enforcement purpose [92].</w:t>
      </w:r>
      <w:r w:rsidR="0068617C">
        <w:t xml:space="preserve"> </w:t>
      </w:r>
      <w:r w:rsidR="0016317F">
        <w:t>In a passage emphasised by Mr Squires, t</w:t>
      </w:r>
      <w:r w:rsidR="004C2912">
        <w:t>h</w:t>
      </w:r>
      <w:r w:rsidR="00203D75">
        <w:t>ose</w:t>
      </w:r>
      <w:r w:rsidR="004C2912">
        <w:t xml:space="preserve"> uncertaint</w:t>
      </w:r>
      <w:r w:rsidR="00203D75">
        <w:t>ies</w:t>
      </w:r>
      <w:r w:rsidR="004C2912">
        <w:t>,</w:t>
      </w:r>
      <w:r w:rsidR="00203D75">
        <w:t xml:space="preserve"> and</w:t>
      </w:r>
      <w:r w:rsidR="004C2912">
        <w:t xml:space="preserve"> even lack of criteria, left </w:t>
      </w:r>
      <w:r w:rsidR="0068617C">
        <w:t xml:space="preserve">too much </w:t>
      </w:r>
      <w:r w:rsidR="004C2912">
        <w:t xml:space="preserve">discretion </w:t>
      </w:r>
      <w:r w:rsidR="0068617C">
        <w:t>to individual police officers in those important areas [91].</w:t>
      </w:r>
    </w:p>
    <w:p w14:paraId="24F58873" w14:textId="779B68A2" w:rsidR="00DD008C" w:rsidRDefault="00DD008C" w:rsidP="002F2079">
      <w:pPr>
        <w:pStyle w:val="ParaLevel1"/>
      </w:pPr>
      <w:r>
        <w:t>However, the Court approved of one element of the deployment of LFR in South Wales which it regarded as “crucial”, namely the automatic and almost instantaneous deletion of the data of any person not matched with someone on a watchlist, with no opportunity for human observation. The Court indicated that policy for the use of LFR should make it clear that such automatic and instantaneous deletion is required [93].</w:t>
      </w:r>
    </w:p>
    <w:p w14:paraId="76CCBE07" w14:textId="28CB2D56" w:rsidR="003D4123" w:rsidRDefault="007D003D" w:rsidP="002F2079">
      <w:pPr>
        <w:pStyle w:val="ParaLevel1"/>
      </w:pPr>
      <w:r>
        <w:t>The Court then reviewed in some detail the constituent parts of the legal framework</w:t>
      </w:r>
      <w:r w:rsidR="00FF45BD">
        <w:t xml:space="preserve"> relied upon by the </w:t>
      </w:r>
      <w:r w:rsidR="00FF45BD" w:rsidRPr="00CE6884">
        <w:t>South Wales Police</w:t>
      </w:r>
      <w:r w:rsidR="00195762">
        <w:t xml:space="preserve"> force</w:t>
      </w:r>
      <w:r w:rsidR="00FF45BD">
        <w:t xml:space="preserve"> [98]-[130]. The legal protections in the Data Protection Act 2018 formed an important part of the framework, but by </w:t>
      </w:r>
      <w:r w:rsidR="00F87736">
        <w:t>themselves</w:t>
      </w:r>
      <w:r w:rsidR="00FF45BD">
        <w:t xml:space="preserve"> w</w:t>
      </w:r>
      <w:r w:rsidR="003D4123">
        <w:t>ere</w:t>
      </w:r>
      <w:r w:rsidR="00FF45BD">
        <w:t xml:space="preserve"> insufficient to satisfy</w:t>
      </w:r>
      <w:r w:rsidR="00F83547">
        <w:t xml:space="preserve"> the</w:t>
      </w:r>
      <w:r w:rsidR="00FF45BD">
        <w:t xml:space="preserve"> IAWL</w:t>
      </w:r>
      <w:r w:rsidR="00F83547">
        <w:t xml:space="preserve"> </w:t>
      </w:r>
      <w:r w:rsidR="00755FCC">
        <w:t>requirement</w:t>
      </w:r>
      <w:r w:rsidR="00FF45BD">
        <w:t xml:space="preserve"> [104]. </w:t>
      </w:r>
    </w:p>
    <w:p w14:paraId="60697C4B" w14:textId="26042E45" w:rsidR="00493C29" w:rsidRDefault="00176BDB" w:rsidP="002F2079">
      <w:pPr>
        <w:pStyle w:val="ParaLevel1"/>
      </w:pPr>
      <w:r>
        <w:t xml:space="preserve">The </w:t>
      </w:r>
      <w:r w:rsidR="00654174">
        <w:t>C</w:t>
      </w:r>
      <w:r>
        <w:t>ourt found that t</w:t>
      </w:r>
      <w:r w:rsidR="00FF45BD">
        <w:t>he Surveillance Camera Code of Practice</w:t>
      </w:r>
      <w:r>
        <w:t xml:space="preserve"> </w:t>
      </w:r>
      <w:r w:rsidR="00755FCC">
        <w:t>did not</w:t>
      </w:r>
      <w:r>
        <w:t xml:space="preserve"> provide </w:t>
      </w:r>
      <w:r w:rsidR="00FF45BD">
        <w:t xml:space="preserve">criteria for inclusion on a watchlist and what </w:t>
      </w:r>
      <w:r w:rsidR="003D4123">
        <w:t>should be addressed in</w:t>
      </w:r>
      <w:r w:rsidR="0050578F">
        <w:t xml:space="preserve"> local </w:t>
      </w:r>
      <w:r w:rsidR="00FF45BD">
        <w:t>policies for the location of LFR deployment</w:t>
      </w:r>
      <w:r w:rsidR="003D4123">
        <w:t xml:space="preserve"> </w:t>
      </w:r>
      <w:r w:rsidR="00FF45BD">
        <w:t xml:space="preserve">[118] and [120]. </w:t>
      </w:r>
    </w:p>
    <w:p w14:paraId="52D556E3" w14:textId="53C4D531" w:rsidR="007D003D" w:rsidRDefault="00BC0FD6" w:rsidP="002F2079">
      <w:pPr>
        <w:pStyle w:val="ParaLevel1"/>
      </w:pPr>
      <w:r>
        <w:t>In relation to</w:t>
      </w:r>
      <w:r w:rsidR="00240AF7">
        <w:t xml:space="preserve"> </w:t>
      </w:r>
      <w:r w:rsidR="00156987">
        <w:t>the</w:t>
      </w:r>
      <w:r w:rsidR="00FF45BD">
        <w:t xml:space="preserve"> policies</w:t>
      </w:r>
      <w:r w:rsidR="00156987">
        <w:t xml:space="preserve"> of </w:t>
      </w:r>
      <w:r w:rsidR="001050BB">
        <w:t>the</w:t>
      </w:r>
      <w:r w:rsidR="00156987">
        <w:t xml:space="preserve"> South</w:t>
      </w:r>
      <w:r w:rsidR="00FF45BD">
        <w:t xml:space="preserve"> </w:t>
      </w:r>
      <w:r w:rsidR="00240AF7">
        <w:t xml:space="preserve">Wales Police force, </w:t>
      </w:r>
      <w:r w:rsidR="00FF45BD">
        <w:t xml:space="preserve">the court </w:t>
      </w:r>
      <w:r w:rsidR="003128DC">
        <w:t>said at [121]</w:t>
      </w:r>
      <w:r w:rsidR="00FF45BD">
        <w:t xml:space="preserve"> that the critical question was how much discre</w:t>
      </w:r>
      <w:r w:rsidR="00954309">
        <w:t>tion those policies</w:t>
      </w:r>
      <w:r w:rsidR="00FF45BD">
        <w:t xml:space="preserve"> </w:t>
      </w:r>
      <w:r w:rsidR="00954309">
        <w:t>g</w:t>
      </w:r>
      <w:r w:rsidR="009461D4">
        <w:t>a</w:t>
      </w:r>
      <w:r w:rsidR="00954309">
        <w:t>ve t</w:t>
      </w:r>
      <w:r w:rsidR="00FF45BD">
        <w:t xml:space="preserve">o individual officers </w:t>
      </w:r>
      <w:r w:rsidR="004D6CA1">
        <w:t>(in the sense explained in [</w:t>
      </w:r>
      <w:r w:rsidR="00315A5F">
        <w:t>37</w:t>
      </w:r>
      <w:r w:rsidR="004D6CA1">
        <w:t>]-[</w:t>
      </w:r>
      <w:r w:rsidR="00315A5F">
        <w:t>38</w:t>
      </w:r>
      <w:r w:rsidR="004D6CA1">
        <w:t>] above)</w:t>
      </w:r>
      <w:r w:rsidR="00954309">
        <w:t xml:space="preserve"> </w:t>
      </w:r>
      <w:r>
        <w:t>as to</w:t>
      </w:r>
      <w:r w:rsidR="00FF45BD">
        <w:t xml:space="preserve"> who could be put on a watchlist and where LFR could be used. On the “who question” the Court decided that</w:t>
      </w:r>
      <w:r w:rsidR="00954309">
        <w:t xml:space="preserve">, </w:t>
      </w:r>
      <w:r w:rsidR="00494D21">
        <w:t>in contrast to objective criteria which asked whether a person was s</w:t>
      </w:r>
      <w:r w:rsidR="00FF45BD">
        <w:t xml:space="preserve">uspected of an offence, wanted on </w:t>
      </w:r>
      <w:r w:rsidR="00494D21">
        <w:t xml:space="preserve">a </w:t>
      </w:r>
      <w:r w:rsidR="00FF45BD">
        <w:t>warrant or vulnerable</w:t>
      </w:r>
      <w:r w:rsidR="00494D21">
        <w:t>, a criterion which simply referred to</w:t>
      </w:r>
      <w:r w:rsidR="00FF45BD">
        <w:t xml:space="preserve"> “</w:t>
      </w:r>
      <w:r w:rsidR="00966A52">
        <w:t xml:space="preserve">other persons where intelligence is required” was too </w:t>
      </w:r>
      <w:r w:rsidR="00D92A52">
        <w:t>uncertain</w:t>
      </w:r>
      <w:r w:rsidR="00494D21">
        <w:t xml:space="preserve"> and subjective</w:t>
      </w:r>
      <w:r w:rsidR="00D92A52">
        <w:t xml:space="preserve"> [123]-[124]. </w:t>
      </w:r>
      <w:r w:rsidR="00EA482D">
        <w:t>Moreover</w:t>
      </w:r>
      <w:r w:rsidR="00954309">
        <w:t>, t</w:t>
      </w:r>
      <w:r w:rsidR="00D92A52">
        <w:t xml:space="preserve">he Standard Operating Procedure did not contain any “who” criteria [128]. Lastly, none of the documents </w:t>
      </w:r>
      <w:r w:rsidR="00E6159F">
        <w:t xml:space="preserve">had </w:t>
      </w:r>
      <w:r w:rsidR="00D92A52">
        <w:t>any “where” criteria</w:t>
      </w:r>
      <w:r w:rsidR="00755FCC">
        <w:t xml:space="preserve"> [130].</w:t>
      </w:r>
    </w:p>
    <w:p w14:paraId="565E6D01" w14:textId="15C4052B" w:rsidR="0027424D" w:rsidRDefault="0027424D" w:rsidP="002F2079">
      <w:pPr>
        <w:pStyle w:val="ParaLevel1"/>
      </w:pPr>
      <w:r>
        <w:t xml:space="preserve">The Court of Appeal stated that it was not for a claimant or for the court to design a particular set of policies </w:t>
      </w:r>
      <w:r w:rsidR="00EA482D">
        <w:t>for the police t</w:t>
      </w:r>
      <w:r>
        <w:t xml:space="preserve">o comply with the quality of law requirement. However, the court was satisfied that the force’s policies did not sufficiently set out </w:t>
      </w:r>
      <w:r w:rsidRPr="0027424D">
        <w:rPr>
          <w:i/>
          <w:iCs/>
        </w:rPr>
        <w:t>the terms on</w:t>
      </w:r>
      <w:r>
        <w:t xml:space="preserve"> </w:t>
      </w:r>
      <w:r w:rsidRPr="00123EB0">
        <w:rPr>
          <w:i/>
          <w:iCs/>
        </w:rPr>
        <w:t>which discretionary powers can be exercised</w:t>
      </w:r>
      <w:r>
        <w:t xml:space="preserve"> by the police and for that reason </w:t>
      </w:r>
      <w:r w:rsidR="00A24FEA">
        <w:t xml:space="preserve">did </w:t>
      </w:r>
      <w:r>
        <w:t>not have the necessary quality of law</w:t>
      </w:r>
      <w:r w:rsidR="00123EB0">
        <w:t xml:space="preserve"> [94]</w:t>
      </w:r>
      <w:r w:rsidR="00EC704B">
        <w:t>. The court also made</w:t>
      </w:r>
      <w:r>
        <w:t xml:space="preserve"> it clear that </w:t>
      </w:r>
      <w:r w:rsidR="00E66F4E">
        <w:t>di</w:t>
      </w:r>
      <w:r>
        <w:t>d not wish to be unduly prescriptive as</w:t>
      </w:r>
      <w:r w:rsidR="00EC704B">
        <w:t xml:space="preserve"> </w:t>
      </w:r>
      <w:r>
        <w:t>to the content of any new policies</w:t>
      </w:r>
      <w:r w:rsidR="00123EB0">
        <w:t xml:space="preserve"> [95].</w:t>
      </w:r>
    </w:p>
    <w:p w14:paraId="4C3DC763" w14:textId="279BCF93" w:rsidR="00501DA5" w:rsidRDefault="007B0E17" w:rsidP="002F2079">
      <w:pPr>
        <w:pStyle w:val="ParaLevel1"/>
      </w:pPr>
      <w:r>
        <w:t xml:space="preserve">In reviewing the </w:t>
      </w:r>
      <w:r w:rsidR="00241B89">
        <w:t xml:space="preserve">defendant’s </w:t>
      </w:r>
      <w:r w:rsidR="007768C6">
        <w:t>revised</w:t>
      </w:r>
      <w:r>
        <w:t xml:space="preserve"> </w:t>
      </w:r>
      <w:r w:rsidR="00AE3F24">
        <w:t>Policy</w:t>
      </w:r>
      <w:r w:rsidR="00241B89">
        <w:t xml:space="preserve"> i</w:t>
      </w:r>
      <w:r>
        <w:t>n September 202</w:t>
      </w:r>
      <w:r w:rsidR="007768C6">
        <w:t>4</w:t>
      </w:r>
      <w:r w:rsidR="00241B89" w:rsidRPr="00241B89">
        <w:t xml:space="preserve"> </w:t>
      </w:r>
      <w:r w:rsidR="00241B89">
        <w:t xml:space="preserve">against the </w:t>
      </w:r>
      <w:r w:rsidR="003128DC">
        <w:t>quality of law requirement</w:t>
      </w:r>
      <w:r w:rsidR="00337EA9">
        <w:t xml:space="preserve">, </w:t>
      </w:r>
      <w:r>
        <w:t>we will bear in mind the relativ</w:t>
      </w:r>
      <w:r w:rsidR="00C3640E">
        <w:t xml:space="preserve">ist approach approved by the Court of Appeal </w:t>
      </w:r>
      <w:r w:rsidR="0043789F">
        <w:t xml:space="preserve">in </w:t>
      </w:r>
      <w:r w:rsidR="0043789F">
        <w:rPr>
          <w:i/>
          <w:iCs/>
        </w:rPr>
        <w:t xml:space="preserve">Bridges </w:t>
      </w:r>
      <w:r w:rsidR="00C3640E">
        <w:t xml:space="preserve">and the factors which </w:t>
      </w:r>
      <w:r w:rsidR="00712A59">
        <w:t xml:space="preserve">(as </w:t>
      </w:r>
      <w:r w:rsidR="006D7EA9">
        <w:t xml:space="preserve">we have set out </w:t>
      </w:r>
      <w:r w:rsidR="00480CCE">
        <w:t xml:space="preserve">in </w:t>
      </w:r>
      <w:r w:rsidR="00315A5F">
        <w:t>[</w:t>
      </w:r>
      <w:r w:rsidR="00EA7DF8">
        <w:t>70</w:t>
      </w:r>
      <w:r w:rsidR="00315A5F">
        <w:t>]</w:t>
      </w:r>
      <w:r w:rsidR="00480CCE">
        <w:t>-</w:t>
      </w:r>
      <w:r w:rsidR="00315A5F">
        <w:t>[</w:t>
      </w:r>
      <w:r w:rsidR="00480CCE">
        <w:t>7</w:t>
      </w:r>
      <w:r w:rsidR="00EA7DF8">
        <w:t>1</w:t>
      </w:r>
      <w:r w:rsidR="00315A5F">
        <w:t>]</w:t>
      </w:r>
      <w:r w:rsidR="00480CCE">
        <w:t xml:space="preserve"> </w:t>
      </w:r>
      <w:r w:rsidR="006D7EA9">
        <w:t>above</w:t>
      </w:r>
      <w:r w:rsidR="000463A4">
        <w:t xml:space="preserve">) </w:t>
      </w:r>
      <w:r w:rsidR="00C3640E">
        <w:t>point to the use of LFR as</w:t>
      </w:r>
      <w:r w:rsidR="00B130C6">
        <w:t xml:space="preserve"> </w:t>
      </w:r>
      <w:r w:rsidR="00DD1531">
        <w:t>falling somewhere in between the two poles on a spectrum which are represented by</w:t>
      </w:r>
      <w:r w:rsidR="000E321D">
        <w:t>,</w:t>
      </w:r>
      <w:r w:rsidR="00DD1531">
        <w:t xml:space="preserve"> </w:t>
      </w:r>
      <w:r w:rsidR="000E321D">
        <w:t>on the one hand, the storing of photographs and intelligence notes on a database and, on the other hand, the retention of fingerprint and DNA samples</w:t>
      </w:r>
      <w:r w:rsidR="004472F6">
        <w:t>.</w:t>
      </w:r>
      <w:r w:rsidR="00D03554">
        <w:t xml:space="preserve"> </w:t>
      </w:r>
    </w:p>
    <w:p w14:paraId="39B00A52" w14:textId="41338AC6" w:rsidR="00123EB0" w:rsidRDefault="00D03554" w:rsidP="002F2079">
      <w:pPr>
        <w:pStyle w:val="ParaLevel1"/>
      </w:pPr>
      <w:r>
        <w:lastRenderedPageBreak/>
        <w:t xml:space="preserve">In this context it is </w:t>
      </w:r>
      <w:r w:rsidR="0045720B">
        <w:t xml:space="preserve">also </w:t>
      </w:r>
      <w:r>
        <w:t xml:space="preserve">relevant to have regard to </w:t>
      </w:r>
      <w:r w:rsidR="008B364F">
        <w:t xml:space="preserve">some of </w:t>
      </w:r>
      <w:r>
        <w:t>th</w:t>
      </w:r>
      <w:r w:rsidR="001D6FCD">
        <w:t>e conclusions</w:t>
      </w:r>
      <w:r>
        <w:t xml:space="preserve"> of the C</w:t>
      </w:r>
      <w:r w:rsidR="008B364F">
        <w:t>ourt of Appeal when they rejected the claimant</w:t>
      </w:r>
      <w:r w:rsidR="00C268DC">
        <w:t>s’</w:t>
      </w:r>
      <w:r w:rsidR="008B364F">
        <w:t xml:space="preserve"> proportionality ground of challenge.</w:t>
      </w:r>
      <w:r w:rsidR="005C5471">
        <w:t xml:space="preserve"> The Court concluded that the impact of the deployment of LFR on the Article 8 rights of the claimant</w:t>
      </w:r>
      <w:r w:rsidR="00B707FE">
        <w:t xml:space="preserve">, who was </w:t>
      </w:r>
      <w:r w:rsidR="005C5471">
        <w:t>not on the watchlist</w:t>
      </w:r>
      <w:r w:rsidR="00B707FE">
        <w:t xml:space="preserve"> and</w:t>
      </w:r>
      <w:r w:rsidR="007349C4">
        <w:t xml:space="preserve"> was not stopped by the police, </w:t>
      </w:r>
      <w:r w:rsidR="009461D4">
        <w:t>w</w:t>
      </w:r>
      <w:r w:rsidR="005C5471">
        <w:t>as negligible, as would be the case for any other member of the public in the same position.</w:t>
      </w:r>
      <w:r w:rsidR="007349C4">
        <w:t xml:space="preserve"> </w:t>
      </w:r>
      <w:r w:rsidR="005C5471">
        <w:t>The Court added that</w:t>
      </w:r>
      <w:r w:rsidR="00245B75">
        <w:t xml:space="preserve"> the very little weight given to that impact did not become weightier because other people </w:t>
      </w:r>
      <w:r w:rsidR="00B35157">
        <w:t>we</w:t>
      </w:r>
      <w:r w:rsidR="00245B75">
        <w:t xml:space="preserve">re similarly affected. </w:t>
      </w:r>
      <w:r w:rsidR="00C77372">
        <w:t xml:space="preserve">This was </w:t>
      </w:r>
      <w:r w:rsidR="00245B75">
        <w:t xml:space="preserve">a matter of </w:t>
      </w:r>
      <w:r w:rsidR="00C77372">
        <w:t xml:space="preserve">judgment not </w:t>
      </w:r>
      <w:r w:rsidR="00245B75">
        <w:t>multiplication</w:t>
      </w:r>
      <w:r w:rsidR="00B35157">
        <w:t xml:space="preserve"> [</w:t>
      </w:r>
      <w:r w:rsidR="00E63B0E">
        <w:t>143</w:t>
      </w:r>
      <w:r w:rsidR="00B35157">
        <w:t>].</w:t>
      </w:r>
    </w:p>
    <w:p w14:paraId="63201F55" w14:textId="35DE0558" w:rsidR="00544F6C" w:rsidRDefault="00544F6C" w:rsidP="00E124CF">
      <w:pPr>
        <w:pStyle w:val="ParaLevel1"/>
        <w:numPr>
          <w:ilvl w:val="0"/>
          <w:numId w:val="0"/>
        </w:numPr>
        <w:rPr>
          <w:b/>
          <w:bCs/>
        </w:rPr>
      </w:pPr>
      <w:r>
        <w:rPr>
          <w:b/>
          <w:bCs/>
        </w:rPr>
        <w:t>The Policy</w:t>
      </w:r>
    </w:p>
    <w:p w14:paraId="625EE854" w14:textId="77777777" w:rsidR="00544F6C" w:rsidRPr="00A811DC" w:rsidRDefault="00544F6C" w:rsidP="00E124CF">
      <w:pPr>
        <w:pStyle w:val="ParaLevel1"/>
        <w:numPr>
          <w:ilvl w:val="0"/>
          <w:numId w:val="0"/>
        </w:numPr>
      </w:pPr>
      <w:r w:rsidRPr="00A811DC">
        <w:rPr>
          <w:i/>
          <w:iCs/>
        </w:rPr>
        <w:t>Background</w:t>
      </w:r>
    </w:p>
    <w:p w14:paraId="6E03C04B" w14:textId="7B14067E" w:rsidR="00544F6C" w:rsidRDefault="00544F6C" w:rsidP="002F2079">
      <w:pPr>
        <w:pStyle w:val="ParaLevel1"/>
      </w:pPr>
      <w:r>
        <w:t xml:space="preserve">The MPS has used LFR since 2016.  After a trial phase, it became fully operational in January 2020 using technology known as the NEC-3 algorithm.   The deployment of LFR was governed by an initial policy framework that was in force at the time of the false identification of </w:t>
      </w:r>
      <w:r w:rsidR="00D86F30">
        <w:t>Mr</w:t>
      </w:r>
      <w:r>
        <w:t xml:space="preserve"> Thompson.  We have not been directed to any part of that earlier framework.    </w:t>
      </w:r>
    </w:p>
    <w:p w14:paraId="20F4FF06" w14:textId="057886BA" w:rsidR="00544F6C" w:rsidRDefault="00544F6C" w:rsidP="002F2079">
      <w:pPr>
        <w:pStyle w:val="ParaLevel1"/>
      </w:pPr>
      <w:r>
        <w:t>On 14 March 2024, the</w:t>
      </w:r>
      <w:r w:rsidR="00116CB5">
        <w:t xml:space="preserve"> defendant</w:t>
      </w:r>
      <w:r>
        <w:t xml:space="preserve"> decided to conduct a review </w:t>
      </w:r>
      <w:proofErr w:type="gramStart"/>
      <w:r>
        <w:t>in order to</w:t>
      </w:r>
      <w:proofErr w:type="gramEnd"/>
      <w:r>
        <w:t xml:space="preserve"> assess whether LFR policy should be adjusted </w:t>
      </w:r>
      <w:proofErr w:type="gramStart"/>
      <w:r>
        <w:t>in light of</w:t>
      </w:r>
      <w:proofErr w:type="gramEnd"/>
      <w:r>
        <w:t xml:space="preserve"> operational experience.  At the conclusion of the review, the </w:t>
      </w:r>
      <w:r w:rsidR="00116CB5">
        <w:t>defendant</w:t>
      </w:r>
      <w:r>
        <w:t xml:space="preserve"> withdrew the initial policy documents and introduced the Policy that is the subject of the present claim.    </w:t>
      </w:r>
    </w:p>
    <w:p w14:paraId="71E853BB" w14:textId="2A1FFD7C" w:rsidR="00544F6C" w:rsidRDefault="00544F6C" w:rsidP="002F2079">
      <w:pPr>
        <w:pStyle w:val="ParaLevel1"/>
      </w:pPr>
      <w:r>
        <w:t xml:space="preserve">The present Policy came into effect on 11 September </w:t>
      </w:r>
      <w:proofErr w:type="gramStart"/>
      <w:r>
        <w:t>2024</w:t>
      </w:r>
      <w:proofErr w:type="gramEnd"/>
      <w:r w:rsidR="003128DC">
        <w:t xml:space="preserve"> and it </w:t>
      </w:r>
      <w:r>
        <w:t>has been published.  It concerns the overt use of LFR that members of the public can know about in advance</w:t>
      </w:r>
      <w:r w:rsidR="00032357">
        <w:t xml:space="preserve"> </w:t>
      </w:r>
      <w:r>
        <w:t>and detect as they move around London</w:t>
      </w:r>
      <w:r w:rsidR="0006695F">
        <w:t xml:space="preserve"> by virtue of </w:t>
      </w:r>
      <w:r w:rsidR="00121B3C">
        <w:t>notices on the MPS website and social media</w:t>
      </w:r>
      <w:r w:rsidR="0045608F">
        <w:t>,</w:t>
      </w:r>
      <w:r w:rsidR="00121B3C">
        <w:t xml:space="preserve"> as well as </w:t>
      </w:r>
      <w:r w:rsidR="00A742BE">
        <w:t xml:space="preserve">measures </w:t>
      </w:r>
      <w:r w:rsidR="00EE102B">
        <w:t>at the site of the LFR deployment</w:t>
      </w:r>
      <w:r w:rsidR="0045608F">
        <w:t xml:space="preserve"> such as MPS-liveried signage</w:t>
      </w:r>
      <w:r w:rsidR="00EE102B">
        <w:t xml:space="preserve"> (para</w:t>
      </w:r>
      <w:r w:rsidR="00A14DB3">
        <w:t>s 10.2-10</w:t>
      </w:r>
      <w:r>
        <w:t>.</w:t>
      </w:r>
      <w:r w:rsidR="00A14DB3">
        <w:t>3 of the Policy).</w:t>
      </w:r>
      <w:r>
        <w:t xml:space="preserve">  It does not concern the use of LFR technology for covert police operations with which this </w:t>
      </w:r>
      <w:r w:rsidR="005340E1">
        <w:t>claim</w:t>
      </w:r>
      <w:r>
        <w:t xml:space="preserve"> is not concerned.   </w:t>
      </w:r>
    </w:p>
    <w:p w14:paraId="78E122DE" w14:textId="77777777" w:rsidR="00544F6C" w:rsidRPr="006449A5" w:rsidRDefault="00544F6C" w:rsidP="002F2079">
      <w:pPr>
        <w:pStyle w:val="ParaLevel1"/>
        <w:numPr>
          <w:ilvl w:val="0"/>
          <w:numId w:val="0"/>
        </w:numPr>
        <w:rPr>
          <w:i/>
          <w:iCs/>
        </w:rPr>
      </w:pPr>
      <w:r w:rsidRPr="006449A5">
        <w:rPr>
          <w:i/>
          <w:iCs/>
        </w:rPr>
        <w:t xml:space="preserve">Overview of LFR </w:t>
      </w:r>
    </w:p>
    <w:p w14:paraId="70039B40" w14:textId="2BFBFB7A" w:rsidR="00544F6C" w:rsidRDefault="00544F6C" w:rsidP="002F2079">
      <w:pPr>
        <w:pStyle w:val="ParaLevel1"/>
      </w:pPr>
      <w:r>
        <w:t>The Policy governs the deployment of a dedicated CCTV system used to locate “Sought Persons” (</w:t>
      </w:r>
      <w:r w:rsidR="00755FCC">
        <w:t>para.</w:t>
      </w:r>
      <w:r>
        <w:t>2.1</w:t>
      </w:r>
      <w:r w:rsidR="004042FA">
        <w:t>)</w:t>
      </w:r>
      <w:r>
        <w:t>.</w:t>
      </w:r>
      <w:r w:rsidR="00755FCC">
        <w:t xml:space="preserve"> </w:t>
      </w:r>
      <w:r>
        <w:t xml:space="preserve">A selection of pre-existing images of Sought Persons will be placed on one or more “watchlists.”  The LFR software detects and analyses the facial features of the images in the selection and expresses those features as a set of numerical values </w:t>
      </w:r>
      <w:r w:rsidR="00755FCC">
        <w:t>known as</w:t>
      </w:r>
      <w:r>
        <w:t xml:space="preserve"> a “Biometric Template” (para</w:t>
      </w:r>
      <w:r w:rsidR="00755FCC">
        <w:t>.</w:t>
      </w:r>
      <w:r>
        <w:t xml:space="preserve"> 3.1(1)).    </w:t>
      </w:r>
    </w:p>
    <w:p w14:paraId="5567E926" w14:textId="57FEF6AF" w:rsidR="00544F6C" w:rsidRDefault="00544F6C" w:rsidP="002F2079">
      <w:pPr>
        <w:pStyle w:val="ParaLevel1"/>
      </w:pPr>
      <w:r>
        <w:t>LFR cameras provide live CCTV footage of members of the public who appear within the “Zone of Recognition” (</w:t>
      </w:r>
      <w:r w:rsidR="00755FCC">
        <w:t>para.</w:t>
      </w:r>
      <w:r>
        <w:t xml:space="preserve">3.1(2)).  This is the area in which </w:t>
      </w:r>
      <w:r w:rsidR="00755FCC">
        <w:t>a</w:t>
      </w:r>
      <w:r>
        <w:t xml:space="preserve"> camera</w:t>
      </w:r>
      <w:r w:rsidR="00755FCC">
        <w:t xml:space="preserve"> can</w:t>
      </w:r>
      <w:r>
        <w:t xml:space="preserve"> generate reliable facial images and is generally smaller than </w:t>
      </w:r>
      <w:r w:rsidR="00755FCC">
        <w:t>a</w:t>
      </w:r>
      <w:r>
        <w:t xml:space="preserve"> camera</w:t>
      </w:r>
      <w:r w:rsidR="00755FCC">
        <w:t>’s</w:t>
      </w:r>
      <w:r>
        <w:t xml:space="preserve"> field of view (Annex A of the Policy).  </w:t>
      </w:r>
    </w:p>
    <w:p w14:paraId="0E683D3C" w14:textId="3F2AEDB9" w:rsidR="00544F6C" w:rsidRDefault="00544F6C" w:rsidP="002F2079">
      <w:pPr>
        <w:pStyle w:val="ParaLevel1"/>
      </w:pPr>
      <w:r>
        <w:t xml:space="preserve">The Biometric Template of anyone passing through the Zone of Recognition is compared </w:t>
      </w:r>
      <w:r w:rsidR="00D6458F">
        <w:t xml:space="preserve">by the LFR software </w:t>
      </w:r>
      <w:r>
        <w:t xml:space="preserve">with the Biometric Templates on the watchlist.  For each Biometric Template created by the </w:t>
      </w:r>
      <w:r w:rsidR="00D6458F">
        <w:t>software</w:t>
      </w:r>
      <w:r>
        <w:t>, a “similarity score” is generated indicating the extent of similarity between that Template and the Templates on the watchlist.  If the score exceeds a pre-set number, the LFR software will generate an alert to indicate a possible match (</w:t>
      </w:r>
      <w:r w:rsidR="00755FCC">
        <w:t>para.</w:t>
      </w:r>
      <w:r>
        <w:t xml:space="preserve">3.1(6)).  </w:t>
      </w:r>
    </w:p>
    <w:p w14:paraId="5001E5E3" w14:textId="184BFC8C" w:rsidR="00544F6C" w:rsidRDefault="00544F6C" w:rsidP="002F2079">
      <w:pPr>
        <w:pStyle w:val="Carlo"/>
      </w:pPr>
      <w:r>
        <w:lastRenderedPageBreak/>
        <w:t xml:space="preserve">After an alert has been generated, specially trained police officers – known as Engagement Officers – will assess the images and </w:t>
      </w:r>
      <w:proofErr w:type="gramStart"/>
      <w:r>
        <w:t>make a decision</w:t>
      </w:r>
      <w:proofErr w:type="gramEnd"/>
      <w:r>
        <w:t xml:space="preserve"> as to whether the match is “viable” and, if so, whether any further action is required (</w:t>
      </w:r>
      <w:r w:rsidR="00755FCC">
        <w:t>para.</w:t>
      </w:r>
      <w:r>
        <w:t>3.1(7)).   In the absence of an alert, any Biometric Template created by LFR is immediately and automatically deleted (</w:t>
      </w:r>
      <w:r w:rsidR="00755FCC">
        <w:t>para.</w:t>
      </w:r>
      <w:r>
        <w:t xml:space="preserve">3.1(8)). </w:t>
      </w:r>
    </w:p>
    <w:p w14:paraId="73DD0D0E" w14:textId="715F9CD4" w:rsidR="00544F6C" w:rsidRDefault="00544F6C" w:rsidP="002F2079">
      <w:pPr>
        <w:pStyle w:val="Carlo"/>
      </w:pPr>
      <w:r>
        <w:t xml:space="preserve">The CCTV footage is viewed in real time by an LFR Operator for the purposes of ensuring that the LFR system is working properly and to support Engagement Officers.  The images of those </w:t>
      </w:r>
      <w:r w:rsidR="003128DC">
        <w:t xml:space="preserve">within the CCTV footage </w:t>
      </w:r>
      <w:r>
        <w:t>who do not meet the similarity score a</w:t>
      </w:r>
      <w:r w:rsidR="00FF3504">
        <w:t>re</w:t>
      </w:r>
      <w:r>
        <w:t xml:space="preserve"> blurred.  This blurring means that no-one viewing the CCTV footage </w:t>
      </w:r>
      <w:proofErr w:type="gramStart"/>
      <w:r>
        <w:t>is able to</w:t>
      </w:r>
      <w:proofErr w:type="gramEnd"/>
      <w:r>
        <w:t xml:space="preserve"> see the faces of anyone who has not been the subject of an alert (</w:t>
      </w:r>
      <w:r w:rsidR="00755FCC">
        <w:t>para.</w:t>
      </w:r>
      <w:r>
        <w:t xml:space="preserve">3.1(6)).  </w:t>
      </w:r>
    </w:p>
    <w:p w14:paraId="024AB8E4" w14:textId="49799890" w:rsidR="00544F6C" w:rsidRDefault="00544F6C" w:rsidP="002F2079">
      <w:pPr>
        <w:pStyle w:val="Carlo"/>
      </w:pPr>
      <w:r>
        <w:t>Subject to exceptions which are irrelevant to the present claim, all CCTV footage generated by LFR technology is deleted within 31 days.  Watchlists are deleted as soon as reasonably practicable and in any event within 24 hours (</w:t>
      </w:r>
      <w:r w:rsidR="00755FCC">
        <w:t>para.</w:t>
      </w:r>
      <w:r>
        <w:t xml:space="preserve">3.1(8)).              </w:t>
      </w:r>
    </w:p>
    <w:p w14:paraId="07A3BE66" w14:textId="77777777" w:rsidR="00544F6C" w:rsidRDefault="00544F6C" w:rsidP="002F2079">
      <w:pPr>
        <w:pStyle w:val="Carlo"/>
      </w:pPr>
      <w:r>
        <w:t xml:space="preserve">None of what we have described so far was in dispute.  The parties focused their submissions on three significant sections of the Policy, namely: </w:t>
      </w:r>
    </w:p>
    <w:p w14:paraId="2FCC120B" w14:textId="2E105287" w:rsidR="00544F6C" w:rsidRDefault="00544F6C" w:rsidP="002F2079">
      <w:pPr>
        <w:pStyle w:val="ParaLevel1"/>
        <w:numPr>
          <w:ilvl w:val="0"/>
          <w:numId w:val="31"/>
        </w:numPr>
      </w:pPr>
      <w:r>
        <w:t>Section 2: The purpose and objectives of LFR, which we will for convenience call the “why</w:t>
      </w:r>
      <w:r w:rsidR="00185F66">
        <w:t>”</w:t>
      </w:r>
      <w:r>
        <w:t xml:space="preserve"> </w:t>
      </w:r>
      <w:proofErr w:type="gramStart"/>
      <w:r w:rsidR="00E75283">
        <w:t>issue</w:t>
      </w:r>
      <w:r>
        <w:t>;</w:t>
      </w:r>
      <w:proofErr w:type="gramEnd"/>
    </w:p>
    <w:p w14:paraId="42DD094D" w14:textId="433ADE82" w:rsidR="00544F6C" w:rsidRDefault="00544F6C" w:rsidP="002F2079">
      <w:pPr>
        <w:pStyle w:val="ParaLevel1"/>
        <w:numPr>
          <w:ilvl w:val="0"/>
          <w:numId w:val="31"/>
        </w:numPr>
      </w:pPr>
      <w:r>
        <w:t>Section 4: The persons whom LFR deployments are designed to locate, which we will call the “who</w:t>
      </w:r>
      <w:r w:rsidR="00185F66">
        <w:t>”</w:t>
      </w:r>
      <w:r>
        <w:t xml:space="preserve"> </w:t>
      </w:r>
      <w:r w:rsidR="00E75283">
        <w:t>issue</w:t>
      </w:r>
      <w:r>
        <w:t>; and</w:t>
      </w:r>
    </w:p>
    <w:p w14:paraId="34BAAD59" w14:textId="4476F66C" w:rsidR="00544F6C" w:rsidRDefault="00544F6C" w:rsidP="002F2079">
      <w:pPr>
        <w:pStyle w:val="ParaLevel1"/>
        <w:numPr>
          <w:ilvl w:val="0"/>
          <w:numId w:val="31"/>
        </w:numPr>
      </w:pPr>
      <w:r>
        <w:t>Section 5: The permitted location of an LFR deployment, which we will call the “where</w:t>
      </w:r>
      <w:r w:rsidR="00185F66">
        <w:t>”</w:t>
      </w:r>
      <w:r>
        <w:t xml:space="preserve"> </w:t>
      </w:r>
      <w:r w:rsidR="00E75283">
        <w:t>issue</w:t>
      </w:r>
      <w:r>
        <w:t>.</w:t>
      </w:r>
    </w:p>
    <w:p w14:paraId="72C90033" w14:textId="4072D0E4" w:rsidR="00B374A0" w:rsidRDefault="00544F6C" w:rsidP="002F2079">
      <w:pPr>
        <w:pStyle w:val="Carlo"/>
      </w:pPr>
      <w:r>
        <w:t xml:space="preserve">We shall describe each of these aspects of the Policy in turn. </w:t>
      </w:r>
      <w:r w:rsidR="008515E0">
        <w:t xml:space="preserve">But we should note </w:t>
      </w:r>
      <w:r w:rsidR="00755FCC">
        <w:t>para.</w:t>
      </w:r>
      <w:r w:rsidR="008515E0">
        <w:t>1.3 which states that</w:t>
      </w:r>
      <w:r w:rsidR="00B374A0">
        <w:t>:</w:t>
      </w:r>
      <w:r w:rsidR="008515E0">
        <w:t xml:space="preserve"> </w:t>
      </w:r>
    </w:p>
    <w:p w14:paraId="71070A01" w14:textId="26CBCAD6" w:rsidR="003B11CE" w:rsidRDefault="008515E0" w:rsidP="002F2079">
      <w:pPr>
        <w:pStyle w:val="Quote"/>
      </w:pPr>
      <w:r>
        <w:t>“</w:t>
      </w:r>
      <w:r w:rsidR="009F4BCD">
        <w:t>P</w:t>
      </w:r>
      <w:r w:rsidR="00A74D78">
        <w:t>ursuant to this</w:t>
      </w:r>
      <w:r w:rsidR="009F4BCD">
        <w:t xml:space="preserve"> policy, </w:t>
      </w:r>
      <w:r>
        <w:t xml:space="preserve">the MPS </w:t>
      </w:r>
      <w:r w:rsidRPr="00D8603B">
        <w:rPr>
          <w:i/>
          <w:iCs/>
        </w:rPr>
        <w:t>may only</w:t>
      </w:r>
      <w:r>
        <w:t xml:space="preserve"> deploy LFR</w:t>
      </w:r>
      <w:r w:rsidR="00C54A8E">
        <w:t>:</w:t>
      </w:r>
    </w:p>
    <w:p w14:paraId="7898ED5F" w14:textId="652C720E" w:rsidR="00544F6C" w:rsidRDefault="00963C23" w:rsidP="002F2079">
      <w:pPr>
        <w:pStyle w:val="Quote"/>
      </w:pPr>
      <w:r>
        <w:t xml:space="preserve">(a) </w:t>
      </w:r>
      <w:r w:rsidR="008515E0">
        <w:t xml:space="preserve">in </w:t>
      </w:r>
      <w:r w:rsidR="003B11CE">
        <w:t xml:space="preserve">a permitted </w:t>
      </w:r>
      <w:r w:rsidR="009B6CBF">
        <w:t>‘</w:t>
      </w:r>
      <w:r w:rsidR="003B11CE">
        <w:t>use case</w:t>
      </w:r>
      <w:r w:rsidR="009B6CBF">
        <w:t>’</w:t>
      </w:r>
      <w:r w:rsidR="00E66344">
        <w:t xml:space="preserve"> (as defined in section 2</w:t>
      </w:r>
      <w:r w:rsidR="00A614ED">
        <w:t xml:space="preserve"> below</w:t>
      </w:r>
      <w:r w:rsidR="003128DC">
        <w:t>)</w:t>
      </w:r>
    </w:p>
    <w:p w14:paraId="24A96656" w14:textId="43B0359A" w:rsidR="007A774D" w:rsidRDefault="00963C23" w:rsidP="002F2079">
      <w:pPr>
        <w:pStyle w:val="Quote"/>
      </w:pPr>
      <w:r>
        <w:t xml:space="preserve">(b) </w:t>
      </w:r>
      <w:r w:rsidR="007A774D">
        <w:t>in compliance wi</w:t>
      </w:r>
      <w:r w:rsidR="00995D6E">
        <w:t>t</w:t>
      </w:r>
      <w:r w:rsidR="007A774D">
        <w:t>h rules on watchlist construction (</w:t>
      </w:r>
      <w:r w:rsidR="00A01144">
        <w:t xml:space="preserve">as set out in </w:t>
      </w:r>
      <w:r w:rsidR="007A774D">
        <w:t>section 4</w:t>
      </w:r>
      <w:r w:rsidR="00A01144">
        <w:t>…</w:t>
      </w:r>
      <w:r w:rsidR="007A774D">
        <w:t>)</w:t>
      </w:r>
    </w:p>
    <w:p w14:paraId="38D019C1" w14:textId="5BD64422" w:rsidR="00C54A8E" w:rsidRDefault="00963C23" w:rsidP="002F2079">
      <w:pPr>
        <w:pStyle w:val="Quote"/>
      </w:pPr>
      <w:r>
        <w:t xml:space="preserve">(c) </w:t>
      </w:r>
      <w:r w:rsidR="00C54A8E">
        <w:t>in compliance w</w:t>
      </w:r>
      <w:r w:rsidR="0097019A">
        <w:t>i</w:t>
      </w:r>
      <w:r w:rsidR="00C54A8E">
        <w:t>th rules on watchlist images (</w:t>
      </w:r>
      <w:r w:rsidR="002D5842">
        <w:t xml:space="preserve">as set out in </w:t>
      </w:r>
      <w:r w:rsidR="00C54A8E">
        <w:t>Annex C</w:t>
      </w:r>
      <w:r w:rsidR="002D5842">
        <w:t>…</w:t>
      </w:r>
      <w:r w:rsidR="00C54A8E">
        <w:t>)</w:t>
      </w:r>
    </w:p>
    <w:p w14:paraId="32D1646B" w14:textId="7AE33618" w:rsidR="00C54A8E" w:rsidRDefault="00963C23" w:rsidP="002F2079">
      <w:pPr>
        <w:pStyle w:val="Quote"/>
      </w:pPr>
      <w:r>
        <w:t xml:space="preserve">(d) </w:t>
      </w:r>
      <w:r w:rsidR="00C54A8E">
        <w:t xml:space="preserve">at a permitted location </w:t>
      </w:r>
      <w:r w:rsidR="003300ED">
        <w:t>(</w:t>
      </w:r>
      <w:r w:rsidR="002D5842">
        <w:t xml:space="preserve">as set out in </w:t>
      </w:r>
      <w:r w:rsidR="003300ED">
        <w:t>section 5</w:t>
      </w:r>
      <w:r w:rsidR="002D5842">
        <w:t>…</w:t>
      </w:r>
      <w:r w:rsidR="003300ED">
        <w:t>)</w:t>
      </w:r>
    </w:p>
    <w:p w14:paraId="13C3125E" w14:textId="35513597" w:rsidR="003300ED" w:rsidRDefault="00963C23" w:rsidP="002F2079">
      <w:pPr>
        <w:pStyle w:val="Quote"/>
      </w:pPr>
      <w:r>
        <w:t xml:space="preserve">(e) </w:t>
      </w:r>
      <w:r w:rsidR="003300ED">
        <w:t>where an authorisi</w:t>
      </w:r>
      <w:r w:rsidR="0009353B">
        <w:t>ng</w:t>
      </w:r>
      <w:r w:rsidR="003300ED">
        <w:t xml:space="preserve"> officer</w:t>
      </w:r>
      <w:r w:rsidR="00A05412">
        <w:t>…</w:t>
      </w:r>
      <w:r w:rsidR="003300ED">
        <w:t xml:space="preserve"> has determined that </w:t>
      </w:r>
      <w:r w:rsidR="00A05412">
        <w:t xml:space="preserve">the </w:t>
      </w:r>
      <w:r w:rsidR="003300ED">
        <w:t xml:space="preserve">deployment is </w:t>
      </w:r>
      <w:r w:rsidR="003300ED" w:rsidRPr="00D8603B">
        <w:rPr>
          <w:i/>
          <w:iCs/>
        </w:rPr>
        <w:t>proportionate</w:t>
      </w:r>
      <w:r w:rsidR="003300ED">
        <w:t xml:space="preserve"> </w:t>
      </w:r>
      <w:r w:rsidR="00E520E9">
        <w:t>in all the circumstances</w:t>
      </w:r>
      <w:r w:rsidR="0009353B">
        <w:t xml:space="preserve"> </w:t>
      </w:r>
      <w:r w:rsidR="004A233F">
        <w:t>(</w:t>
      </w:r>
      <w:r w:rsidR="0009353B">
        <w:t>in accordance with the guidance in section 6</w:t>
      </w:r>
      <w:r w:rsidR="004A233F">
        <w:t>…) and</w:t>
      </w:r>
    </w:p>
    <w:p w14:paraId="515816C7" w14:textId="3084A814" w:rsidR="00693408" w:rsidRDefault="003F0928" w:rsidP="002F2079">
      <w:pPr>
        <w:pStyle w:val="Quote"/>
      </w:pPr>
      <w:r>
        <w:t xml:space="preserve">(f) </w:t>
      </w:r>
      <w:r w:rsidR="00693408">
        <w:t xml:space="preserve">subject to the requirements as to transparency </w:t>
      </w:r>
      <w:r w:rsidR="00B43679">
        <w:t>in section 10</w:t>
      </w:r>
      <w:r w:rsidR="004A233F">
        <w:t xml:space="preserve"> …</w:t>
      </w:r>
      <w:r w:rsidR="00195545">
        <w:t xml:space="preserve">”. </w:t>
      </w:r>
      <w:r w:rsidR="001F1D3E">
        <w:t>(emphasis added)</w:t>
      </w:r>
    </w:p>
    <w:p w14:paraId="52721176" w14:textId="4150EFCE" w:rsidR="007A43E8" w:rsidRDefault="007A43E8" w:rsidP="002F2079">
      <w:pPr>
        <w:pStyle w:val="Carlo"/>
      </w:pPr>
      <w:r>
        <w:t>It is plain</w:t>
      </w:r>
      <w:r w:rsidR="00E77B1A">
        <w:t>,</w:t>
      </w:r>
      <w:r>
        <w:t xml:space="preserve"> and not in dispute, that these </w:t>
      </w:r>
      <w:r w:rsidR="00E239C6">
        <w:t>limbs</w:t>
      </w:r>
      <w:r w:rsidR="00960A8F">
        <w:t xml:space="preserve"> of para.1.3 </w:t>
      </w:r>
      <w:r>
        <w:t>are cumulative</w:t>
      </w:r>
      <w:r w:rsidR="00960A8F">
        <w:t xml:space="preserve">. The </w:t>
      </w:r>
      <w:r w:rsidR="00170719">
        <w:t>provisions to which they refer</w:t>
      </w:r>
      <w:r w:rsidR="00E77B1A">
        <w:t xml:space="preserve"> form part of the</w:t>
      </w:r>
      <w:r w:rsidR="00ED2D3D">
        <w:t xml:space="preserve"> interlocking</w:t>
      </w:r>
      <w:r>
        <w:t xml:space="preserve"> requirements of the Policy.</w:t>
      </w:r>
    </w:p>
    <w:p w14:paraId="1DD73EA3" w14:textId="0F2CFE5D" w:rsidR="00544F6C" w:rsidRPr="00D8603B" w:rsidRDefault="00544F6C" w:rsidP="002F2079">
      <w:pPr>
        <w:pStyle w:val="ParaLevel1"/>
        <w:numPr>
          <w:ilvl w:val="0"/>
          <w:numId w:val="0"/>
        </w:numPr>
        <w:rPr>
          <w:b/>
          <w:bCs/>
          <w:i/>
          <w:iCs/>
        </w:rPr>
      </w:pPr>
      <w:r w:rsidRPr="00D8603B">
        <w:rPr>
          <w:b/>
          <w:bCs/>
          <w:i/>
          <w:iCs/>
        </w:rPr>
        <w:lastRenderedPageBreak/>
        <w:t xml:space="preserve">The “why” </w:t>
      </w:r>
      <w:r w:rsidR="00E75283" w:rsidRPr="00D8603B">
        <w:rPr>
          <w:b/>
          <w:bCs/>
          <w:i/>
          <w:iCs/>
        </w:rPr>
        <w:t>issue</w:t>
      </w:r>
    </w:p>
    <w:p w14:paraId="658AC70F" w14:textId="5152435A" w:rsidR="00544F6C" w:rsidRDefault="00544F6C" w:rsidP="002F2079">
      <w:pPr>
        <w:pStyle w:val="Carlo"/>
      </w:pPr>
      <w:r>
        <w:t>Under section 2 of the Policy, the purpose of LFR is (as we have already said) to locate “Sought Persons” whose names have been placed on one or more “watchlists.”  In addition, LFR may “serve to achieve the MPS’s policing objectives by helping to deter or disrupt criminality or other conduct posing a risk to public safety” (</w:t>
      </w:r>
      <w:r w:rsidR="00755FCC">
        <w:t>para.</w:t>
      </w:r>
      <w:r>
        <w:t xml:space="preserve">2.1).  </w:t>
      </w:r>
    </w:p>
    <w:p w14:paraId="18036E1B" w14:textId="585FC744" w:rsidR="00544F6C" w:rsidRDefault="00544F6C" w:rsidP="002F2079">
      <w:pPr>
        <w:pStyle w:val="Carlo"/>
      </w:pPr>
      <w:r>
        <w:t>Despite this broad purpose, the Policy contains significant constraints because LFR technology may only be used in three specific sets of circumstance, known respectively as Use Cases A, B and C</w:t>
      </w:r>
      <w:r w:rsidR="00C418E6">
        <w:t xml:space="preserve"> (paras 2.2-2.12)</w:t>
      </w:r>
      <w:r>
        <w:t>.</w:t>
      </w:r>
      <w:r w:rsidR="00440479">
        <w:t xml:space="preserve"> </w:t>
      </w:r>
      <w:r w:rsidR="00574308">
        <w:t xml:space="preserve">We describe each of these Use Cases </w:t>
      </w:r>
      <w:r w:rsidR="00E42047">
        <w:t>below</w:t>
      </w:r>
      <w:r w:rsidR="00574308">
        <w:t xml:space="preserve">, while noting that in </w:t>
      </w:r>
      <w:r w:rsidR="004D671E">
        <w:t xml:space="preserve">his </w:t>
      </w:r>
      <w:r w:rsidR="00574308">
        <w:t>oral submissions</w:t>
      </w:r>
      <w:r w:rsidR="004D671E">
        <w:t xml:space="preserve"> on this issue</w:t>
      </w:r>
      <w:r w:rsidR="00574308">
        <w:t xml:space="preserve"> Mr Squires focused </w:t>
      </w:r>
      <w:r w:rsidR="004D671E">
        <w:t xml:space="preserve">solely </w:t>
      </w:r>
      <w:r w:rsidR="00574308">
        <w:t xml:space="preserve">on </w:t>
      </w:r>
      <w:r w:rsidR="00653863">
        <w:t>“crime hotspots” which f</w:t>
      </w:r>
      <w:r w:rsidR="00376CD6">
        <w:t>orm part of</w:t>
      </w:r>
      <w:r w:rsidR="00653863">
        <w:t xml:space="preserve"> Use Case A. </w:t>
      </w:r>
      <w:r>
        <w:t xml:space="preserve">    </w:t>
      </w:r>
    </w:p>
    <w:p w14:paraId="56A3CB9D" w14:textId="77777777" w:rsidR="00544F6C" w:rsidRPr="00B4036F" w:rsidRDefault="00544F6C" w:rsidP="002F2079">
      <w:pPr>
        <w:pStyle w:val="ParaLevel1"/>
        <w:numPr>
          <w:ilvl w:val="0"/>
          <w:numId w:val="0"/>
        </w:numPr>
        <w:rPr>
          <w:i/>
          <w:iCs/>
        </w:rPr>
      </w:pPr>
      <w:r w:rsidRPr="00B4036F">
        <w:rPr>
          <w:i/>
          <w:iCs/>
        </w:rPr>
        <w:t>Use Case A</w:t>
      </w:r>
    </w:p>
    <w:p w14:paraId="6AEB481C" w14:textId="77777777" w:rsidR="00A614ED" w:rsidRDefault="00544F6C" w:rsidP="002F2079">
      <w:pPr>
        <w:pStyle w:val="Carlo"/>
        <w:tabs>
          <w:tab w:val="num" w:pos="862"/>
        </w:tabs>
      </w:pPr>
      <w:r>
        <w:t>Under Use Case A, the MPS may deploy LFR to support the policing of “hotspots” (</w:t>
      </w:r>
      <w:r w:rsidR="00755FCC">
        <w:t>para.</w:t>
      </w:r>
      <w:r>
        <w:t xml:space="preserve">2.3).  There are two kinds of hotspot: a “crime hotspot” and a “missing person hotspot.”  </w:t>
      </w:r>
    </w:p>
    <w:p w14:paraId="45A30B9C" w14:textId="2224700C" w:rsidR="00544F6C" w:rsidRDefault="00544F6C" w:rsidP="002F2079">
      <w:pPr>
        <w:pStyle w:val="Carlo"/>
        <w:tabs>
          <w:tab w:val="num" w:pos="862"/>
        </w:tabs>
      </w:pPr>
      <w:r>
        <w:t xml:space="preserve">Under paragraph 2.3(a) of the Policy, a crime hotspot is defined as follows: </w:t>
      </w:r>
    </w:p>
    <w:p w14:paraId="1B012A74" w14:textId="77777777" w:rsidR="00544F6C" w:rsidRDefault="00544F6C" w:rsidP="002F2079">
      <w:pPr>
        <w:pStyle w:val="Quote"/>
      </w:pPr>
      <w:r>
        <w:t xml:space="preserve">“A </w:t>
      </w:r>
      <w:r w:rsidRPr="00223302">
        <w:rPr>
          <w:b/>
          <w:bCs/>
        </w:rPr>
        <w:t>crime hotspot</w:t>
      </w:r>
      <w:r>
        <w:t xml:space="preserve"> is a small geographical area of approximately 300-500m across where crime data and/or MPS intelligence reporting and/or operational experience as to future criminality indicates that it is an area where: </w:t>
      </w:r>
    </w:p>
    <w:p w14:paraId="16C66242" w14:textId="77777777" w:rsidR="00544F6C" w:rsidRDefault="00544F6C" w:rsidP="002F2079">
      <w:pPr>
        <w:pStyle w:val="Quote"/>
      </w:pPr>
      <w:r>
        <w:t>(</w:t>
      </w:r>
      <w:proofErr w:type="spellStart"/>
      <w:r>
        <w:t>i</w:t>
      </w:r>
      <w:proofErr w:type="spellEnd"/>
      <w:r>
        <w:t xml:space="preserve">) the crime rate; and/or </w:t>
      </w:r>
    </w:p>
    <w:p w14:paraId="53B447B5" w14:textId="77777777" w:rsidR="00544F6C" w:rsidRDefault="00544F6C" w:rsidP="002F2079">
      <w:pPr>
        <w:pStyle w:val="Quote"/>
      </w:pPr>
      <w:r>
        <w:t xml:space="preserve">(ii) the rate at which crime in that area is rising, </w:t>
      </w:r>
    </w:p>
    <w:p w14:paraId="462FBA67" w14:textId="77777777" w:rsidR="00544F6C" w:rsidRDefault="00544F6C" w:rsidP="002F2079">
      <w:pPr>
        <w:pStyle w:val="Quote"/>
      </w:pPr>
      <w:r>
        <w:t xml:space="preserve">is assessed to be in the upper quartile for that [Basic Command Unit/Operational Command Unit] area” (emphasis in the original).      </w:t>
      </w:r>
    </w:p>
    <w:p w14:paraId="300EDE7B" w14:textId="77777777" w:rsidR="00544F6C" w:rsidRDefault="00544F6C" w:rsidP="002F2079">
      <w:pPr>
        <w:pStyle w:val="Carlo"/>
      </w:pPr>
      <w:r>
        <w:t xml:space="preserve">It is readily apparent from this definition that a crime hotspot is a small geographical area (“SGA”) within the larger geographical area of a Basic Command Unit (“BCU”) or an Operational Command Unit (“OCU”).  An SGA will be a crime hotspot if the crime rate in that SGA, or the rate at which crime in that SGA is rising, falls within the upper quartile (i.e. top 25 per cent) of the SGAs in the geographical area of the BCU or OCU in which the SGA is located.  </w:t>
      </w:r>
    </w:p>
    <w:p w14:paraId="4579DF16" w14:textId="73A19F88" w:rsidR="00544F6C" w:rsidRDefault="00FC5ABD" w:rsidP="002F2079">
      <w:pPr>
        <w:pStyle w:val="Carlo"/>
      </w:pPr>
      <w:r>
        <w:t>Ms</w:t>
      </w:r>
      <w:r w:rsidR="00544F6C">
        <w:t xml:space="preserve"> Chiswick’s second witness statement makes clear that the SGAs are hexagons superimposed on the map of London to form a grid.  She describes the grid as follows:</w:t>
      </w:r>
    </w:p>
    <w:p w14:paraId="6F7036FD" w14:textId="77777777" w:rsidR="00544F6C" w:rsidRDefault="00544F6C" w:rsidP="002F2079">
      <w:pPr>
        <w:pStyle w:val="Quote"/>
      </w:pPr>
      <w:r>
        <w:t xml:space="preserve">“89… Having selected one initial hexagon (in September 2024), the location of every other hexagon across the map is fixed. The east-west grid coordinates used in this system are fixed at intervals of even hundreds of meters based on the datum point of the Ordnance Survey grid.  The hexagons are all 200 meters per side, meaning that they are exactly 400 meters from corner to opposite corner – and two of these opposite corners on each hex lie exactly on an east-west line. There are sound operational </w:t>
      </w:r>
      <w:r>
        <w:lastRenderedPageBreak/>
        <w:t>reasons why grid is fixed because this allows the effectiveness of operational tactics and crime trends to be considered over time.”</w:t>
      </w:r>
    </w:p>
    <w:p w14:paraId="3EFA8C9C" w14:textId="21EA9498" w:rsidR="00544F6C" w:rsidRDefault="00544F6C" w:rsidP="002F2079">
      <w:pPr>
        <w:pStyle w:val="Carlo"/>
      </w:pPr>
      <w:proofErr w:type="gramStart"/>
      <w:r>
        <w:t>In order to</w:t>
      </w:r>
      <w:proofErr w:type="gramEnd"/>
      <w:r>
        <w:t xml:space="preserve"> determine whether any </w:t>
      </w:r>
      <w:proofErr w:type="gramStart"/>
      <w:r>
        <w:t>particular hexagon</w:t>
      </w:r>
      <w:proofErr w:type="gramEnd"/>
      <w:r>
        <w:t xml:space="preserve"> should be treated as a crime hotspot, each hexagon is scored according to three variables.  As </w:t>
      </w:r>
      <w:r w:rsidR="00FC5ABD">
        <w:t>Ms</w:t>
      </w:r>
      <w:r>
        <w:t xml:space="preserve"> Chiswick’s second witness statement explains:</w:t>
      </w:r>
    </w:p>
    <w:p w14:paraId="2CF10A86" w14:textId="77777777" w:rsidR="00544F6C" w:rsidRDefault="00544F6C" w:rsidP="002F2079">
      <w:pPr>
        <w:pStyle w:val="Quote"/>
      </w:pPr>
      <w:r>
        <w:t>“90. We… score each hex in three different ways: (</w:t>
      </w:r>
      <w:proofErr w:type="spellStart"/>
      <w:r>
        <w:t>i</w:t>
      </w:r>
      <w:proofErr w:type="spellEnd"/>
      <w:r>
        <w:t xml:space="preserve">) crime count (number of crime incidents over a three-year period), (ii) harm level of the crime incidents using the Cambridge Crime Harm Index, and (iii) days on which crimes occurred in that hexagon (i.e. how often crime occurs at the location to weight those which are ‘hotter’ more often). This scoring system is nuanced </w:t>
      </w:r>
      <w:proofErr w:type="gramStart"/>
      <w:r>
        <w:t>so as to</w:t>
      </w:r>
      <w:proofErr w:type="gramEnd"/>
      <w:r>
        <w:t xml:space="preserve"> avoid arbitrary results. Importantly, the hexes do not align with the geography of London. A particular site might be at the intersection of two or three hexes. Therefore, the score for each hex is weighted according to the scores for that hex’s surrounding hexes (which we refer to as the hex’s “geo-spatial lag”). For this reason, it is unlikely to matter in practice if the hex would have scored higher if it </w:t>
      </w:r>
      <w:proofErr w:type="gramStart"/>
      <w:r>
        <w:t>have</w:t>
      </w:r>
      <w:proofErr w:type="gramEnd"/>
      <w:r>
        <w:t xml:space="preserve"> been moved (say) 12 meters to the east: offending 12 metres to </w:t>
      </w:r>
      <w:proofErr w:type="gramStart"/>
      <w:r>
        <w:t>the  east</w:t>
      </w:r>
      <w:proofErr w:type="gramEnd"/>
      <w:r>
        <w:t xml:space="preserve"> of </w:t>
      </w:r>
      <w:proofErr w:type="gramStart"/>
      <w:r>
        <w:t>the  hex</w:t>
      </w:r>
      <w:proofErr w:type="gramEnd"/>
      <w:r>
        <w:t xml:space="preserve"> will feed into the primary hex’s geo-spatial </w:t>
      </w:r>
      <w:proofErr w:type="gramStart"/>
      <w:r>
        <w:t>lag, and</w:t>
      </w:r>
      <w:proofErr w:type="gramEnd"/>
      <w:r>
        <w:t xml:space="preserve"> so affect its overall score. This has been modelled by a criminologist with a doctorate in criminology and a former Ivy League professor. These models have been peer reviewed internally.”</w:t>
      </w:r>
    </w:p>
    <w:p w14:paraId="362D85F4" w14:textId="14E26F09" w:rsidR="00544F6C" w:rsidRDefault="00544F6C" w:rsidP="002F2079">
      <w:pPr>
        <w:pStyle w:val="Carlo"/>
      </w:pPr>
      <w:r>
        <w:t xml:space="preserve">Returning to the terms of the Policy, as we have mentioned, the second </w:t>
      </w:r>
      <w:r w:rsidR="009A1C6D">
        <w:t>category</w:t>
      </w:r>
      <w:r>
        <w:t xml:space="preserve"> of Use Case A is a “missing person hotspot”, which is </w:t>
      </w:r>
      <w:proofErr w:type="gramStart"/>
      <w:r>
        <w:t>a</w:t>
      </w:r>
      <w:proofErr w:type="gramEnd"/>
      <w:r>
        <w:t xml:space="preserve"> SGA in which </w:t>
      </w:r>
      <w:r w:rsidR="008445FB">
        <w:t>MPS</w:t>
      </w:r>
      <w:r>
        <w:t xml:space="preserve"> intelligence or operational experience indicates missing persons are likely to be present (</w:t>
      </w:r>
      <w:r w:rsidR="00755FCC">
        <w:t>para.</w:t>
      </w:r>
      <w:r>
        <w:t xml:space="preserve">2.3(b)).  The formation and extent of missing person hotspots was not the subject of </w:t>
      </w:r>
      <w:r w:rsidR="00C60590">
        <w:t>challenge</w:t>
      </w:r>
      <w:r w:rsidR="007202F7">
        <w:t xml:space="preserve"> by</w:t>
      </w:r>
      <w:r w:rsidR="00290333">
        <w:t xml:space="preserve"> </w:t>
      </w:r>
      <w:r w:rsidR="007202F7">
        <w:t>the claimants</w:t>
      </w:r>
      <w:r>
        <w:t xml:space="preserve">.    </w:t>
      </w:r>
    </w:p>
    <w:p w14:paraId="0B78C23A" w14:textId="37D59723" w:rsidR="00544F6C" w:rsidRDefault="00544F6C" w:rsidP="002F2079">
      <w:pPr>
        <w:pStyle w:val="Carlo"/>
      </w:pPr>
      <w:r>
        <w:t>It is an important constraint that each Use Case has particular and specified “relevant policing objectives.”  In relation to Use Case A, the relevant policing objective is “to support hotspot policing” but “</w:t>
      </w:r>
      <w:r w:rsidRPr="000734E5">
        <w:rPr>
          <w:u w:val="single"/>
        </w:rPr>
        <w:t>only</w:t>
      </w:r>
      <w:r>
        <w:t xml:space="preserve"> for the purposes of locating those Sought Persons who have been placed on the relevant LFR Watchlist</w:t>
      </w:r>
      <w:r w:rsidR="00FC3F50">
        <w:t xml:space="preserve"> in accordance with the </w:t>
      </w:r>
      <w:proofErr w:type="spellStart"/>
      <w:r w:rsidR="00CA7013">
        <w:t>watchlisting</w:t>
      </w:r>
      <w:proofErr w:type="spellEnd"/>
      <w:r w:rsidR="00CA7013">
        <w:t xml:space="preserve"> </w:t>
      </w:r>
      <w:r w:rsidR="00FC3F50">
        <w:t>princip</w:t>
      </w:r>
      <w:r w:rsidR="0069151C">
        <w:t>l</w:t>
      </w:r>
      <w:r w:rsidR="00FC3F50">
        <w:t>es</w:t>
      </w:r>
      <w:r w:rsidR="00EE0732">
        <w:t>…</w:t>
      </w:r>
      <w:r w:rsidR="00BC13FD">
        <w:t xml:space="preserve"> </w:t>
      </w:r>
      <w:r w:rsidR="00FC3F50">
        <w:t>in section 4 of this policy</w:t>
      </w:r>
      <w:r>
        <w:t>” (</w:t>
      </w:r>
      <w:r w:rsidR="00755FCC">
        <w:t>para.</w:t>
      </w:r>
      <w:r>
        <w:t xml:space="preserve">2.5, emphasis in the original).  </w:t>
      </w:r>
    </w:p>
    <w:p w14:paraId="594770FD" w14:textId="4EB95BE9" w:rsidR="00E5083D" w:rsidRDefault="0092489F" w:rsidP="002F2079">
      <w:pPr>
        <w:pStyle w:val="Carlo"/>
      </w:pPr>
      <w:r>
        <w:t xml:space="preserve">A Central </w:t>
      </w:r>
      <w:r w:rsidR="000E465C">
        <w:t xml:space="preserve">Tasking and Co-ordination Group </w:t>
      </w:r>
      <w:r w:rsidR="00BA7FCD">
        <w:t>chaired by a Deputy Assistant Commissioner will consider bids for policing resources</w:t>
      </w:r>
      <w:r w:rsidR="00C12E8F">
        <w:t>.  The Group</w:t>
      </w:r>
      <w:r w:rsidR="008D4B49">
        <w:t xml:space="preserve"> may allocate LFR resource to a hotspot location </w:t>
      </w:r>
      <w:r w:rsidR="00FC011B">
        <w:t xml:space="preserve">subject to </w:t>
      </w:r>
      <w:r w:rsidR="00C12E8F">
        <w:t xml:space="preserve">(1) </w:t>
      </w:r>
      <w:r w:rsidR="00FC011B">
        <w:t>completion of the relevant form, called an LFR Form 1</w:t>
      </w:r>
      <w:r w:rsidR="00773F1B">
        <w:t xml:space="preserve">, and </w:t>
      </w:r>
      <w:r w:rsidR="00C12E8F">
        <w:t xml:space="preserve">(2) </w:t>
      </w:r>
      <w:r w:rsidR="00FC5FBE">
        <w:t xml:space="preserve">the other requirements of the Policy </w:t>
      </w:r>
      <w:r w:rsidR="00040016">
        <w:t xml:space="preserve">including </w:t>
      </w:r>
      <w:r w:rsidR="009333BA">
        <w:t>(as specifically stated</w:t>
      </w:r>
      <w:r w:rsidR="00C12E8F">
        <w:t xml:space="preserve">) </w:t>
      </w:r>
      <w:r w:rsidR="00040016">
        <w:t>the requirements as to permitted locations for LFR (</w:t>
      </w:r>
      <w:r w:rsidR="00755FCC">
        <w:t>para.</w:t>
      </w:r>
      <w:r w:rsidR="00E5083D">
        <w:t xml:space="preserve">2.4).  </w:t>
      </w:r>
    </w:p>
    <w:p w14:paraId="7385EEFB" w14:textId="095692B9" w:rsidR="0059182F" w:rsidRDefault="000D327F" w:rsidP="002F2079">
      <w:pPr>
        <w:pStyle w:val="Carlo"/>
      </w:pPr>
      <w:r>
        <w:t>Paragraph 2.6 of the Policy states:</w:t>
      </w:r>
    </w:p>
    <w:p w14:paraId="211D26CF" w14:textId="77C22789" w:rsidR="000D327F" w:rsidRDefault="0090428E" w:rsidP="002F2079">
      <w:pPr>
        <w:pStyle w:val="Quote"/>
      </w:pPr>
      <w:r>
        <w:t>“</w:t>
      </w:r>
      <w:r w:rsidR="0075641F">
        <w:t xml:space="preserve">Where LFR is to be used for a crime hotspot, using the LFR Form 1 the applicant must identify, and the AO </w:t>
      </w:r>
      <w:r w:rsidR="00FF4B56">
        <w:t>[</w:t>
      </w:r>
      <w:r w:rsidR="0078738E">
        <w:t xml:space="preserve">Authorising Officer] </w:t>
      </w:r>
      <w:r w:rsidR="0075641F">
        <w:t>must authorise, the main types of offending (</w:t>
      </w:r>
      <w:r w:rsidR="0078738E">
        <w:t>‘</w:t>
      </w:r>
      <w:r w:rsidR="0075641F">
        <w:t xml:space="preserve">Relevant </w:t>
      </w:r>
      <w:r w:rsidR="0075641F">
        <w:lastRenderedPageBreak/>
        <w:t>Hotspot Offence Type</w:t>
      </w:r>
      <w:r w:rsidR="009C591E">
        <w:t>)’</w:t>
      </w:r>
      <w:r w:rsidR="0075641F">
        <w:t xml:space="preserve"> that have been committed or are likely to be committed in the crime hotspot by reference to crime data and/or MPS intelligence reporting and/or operational experience. Authorisation of Relevant Hotspot Offence Types by the AO is necessary particularly for the purposes of constructing the LFR Watchlists relevant to crime hotspots under Section 4 of this Policy</w:t>
      </w:r>
      <w:r>
        <w:t>”</w:t>
      </w:r>
      <w:r w:rsidR="0075641F">
        <w:t xml:space="preserve">. </w:t>
      </w:r>
    </w:p>
    <w:p w14:paraId="6E1EEBF8" w14:textId="2D07A69D" w:rsidR="00780E5C" w:rsidRPr="00780E5C" w:rsidRDefault="00780E5C" w:rsidP="002F2079">
      <w:pPr>
        <w:pStyle w:val="ParaLevel1"/>
        <w:numPr>
          <w:ilvl w:val="0"/>
          <w:numId w:val="0"/>
        </w:numPr>
        <w:ind w:left="720"/>
      </w:pPr>
      <w:r>
        <w:t>Rel</w:t>
      </w:r>
      <w:r w:rsidR="00332421">
        <w:t>evant Hotspot Offence Types are defined in Annex</w:t>
      </w:r>
      <w:r w:rsidR="00BC13FD">
        <w:t>es A and</w:t>
      </w:r>
      <w:r w:rsidR="00332421">
        <w:t xml:space="preserve"> </w:t>
      </w:r>
      <w:r w:rsidR="007A23F3">
        <w:t>G</w:t>
      </w:r>
      <w:r w:rsidR="00BC13FD">
        <w:t>.</w:t>
      </w:r>
    </w:p>
    <w:p w14:paraId="32BFE3B8" w14:textId="77777777" w:rsidR="00544F6C" w:rsidRPr="000808AF" w:rsidRDefault="00544F6C" w:rsidP="002F2079">
      <w:pPr>
        <w:pStyle w:val="ParaLevel1"/>
        <w:numPr>
          <w:ilvl w:val="0"/>
          <w:numId w:val="0"/>
        </w:numPr>
        <w:rPr>
          <w:i/>
          <w:iCs/>
        </w:rPr>
      </w:pPr>
      <w:r w:rsidRPr="000808AF">
        <w:rPr>
          <w:i/>
          <w:iCs/>
        </w:rPr>
        <w:t>Use Case B</w:t>
      </w:r>
    </w:p>
    <w:p w14:paraId="1A222AD2" w14:textId="046A58EE" w:rsidR="001904BA" w:rsidRDefault="00544F6C" w:rsidP="002F2079">
      <w:pPr>
        <w:pStyle w:val="Carlo"/>
      </w:pPr>
      <w:r>
        <w:t>Under Use Case B, LFR may be deployed to support “protective security operations” (“PSOs”)</w:t>
      </w:r>
      <w:r w:rsidR="005F7F97">
        <w:t>.</w:t>
      </w:r>
      <w:r w:rsidR="001904BA">
        <w:t xml:space="preserve"> Paragraph 2.7 provides:</w:t>
      </w:r>
    </w:p>
    <w:p w14:paraId="2AA1136E" w14:textId="77777777" w:rsidR="00F60678" w:rsidRDefault="001904BA" w:rsidP="002F2079">
      <w:pPr>
        <w:pStyle w:val="Quote"/>
      </w:pPr>
      <w:r>
        <w:t>“</w:t>
      </w:r>
      <w:r w:rsidR="001828F2">
        <w:t xml:space="preserve">Consistent with its policing purposes, the MPS may conduct specific security operations aimed at keeping the public safe and/or protecting property or national infrastructure, referred to in this policy as “protective security operations” (“PSOs”). Under the terms of this policy, LFR may only be used to support the following type of PSO: </w:t>
      </w:r>
    </w:p>
    <w:p w14:paraId="4D27D8BF" w14:textId="6C362FD4" w:rsidR="00F60678" w:rsidRDefault="00F60678" w:rsidP="002F2079">
      <w:pPr>
        <w:pStyle w:val="Quote"/>
      </w:pPr>
      <w:r>
        <w:t xml:space="preserve">(a) </w:t>
      </w:r>
      <w:r w:rsidR="001828F2">
        <w:t>a PSO which has as its objective the protection of critical national infrastructure (a “CNI PSO”</w:t>
      </w:r>
      <w:proofErr w:type="gramStart"/>
      <w:r w:rsidR="001828F2">
        <w:t>);</w:t>
      </w:r>
      <w:proofErr w:type="gramEnd"/>
      <w:r w:rsidR="001828F2">
        <w:t xml:space="preserve">   </w:t>
      </w:r>
    </w:p>
    <w:p w14:paraId="66C05F3B" w14:textId="625629ED" w:rsidR="001904BA" w:rsidRDefault="00F60678" w:rsidP="002F2079">
      <w:pPr>
        <w:pStyle w:val="Quote"/>
      </w:pPr>
      <w:r>
        <w:t xml:space="preserve">(b) </w:t>
      </w:r>
      <w:r w:rsidR="001828F2">
        <w:t>a PSO undertaken by the MPS in respect of events which are expected to attract public attendance and, further, where the MPS has intelligence which indicates that there is likely to be a threat to public safety (an “Event PSO”).</w:t>
      </w:r>
      <w:r w:rsidR="001904BA">
        <w:t>”</w:t>
      </w:r>
    </w:p>
    <w:p w14:paraId="068FC99D" w14:textId="435D78D6" w:rsidR="00544F6C" w:rsidRDefault="00544F6C" w:rsidP="002F2079">
      <w:pPr>
        <w:pStyle w:val="Carlo"/>
      </w:pPr>
      <w:r>
        <w:t xml:space="preserve"> By way of example, LFR was used at the Notting Hill Carnival in August 2025 (an “event PSO”) and for </w:t>
      </w:r>
      <w:proofErr w:type="gramStart"/>
      <w:r>
        <w:t>a number of</w:t>
      </w:r>
      <w:proofErr w:type="gramEnd"/>
      <w:r>
        <w:t xml:space="preserve"> hours at Heathrow Airport in November 2025 (a “CNI PSO”).  </w:t>
      </w:r>
    </w:p>
    <w:p w14:paraId="55362F40" w14:textId="79B36D73" w:rsidR="00544F6C" w:rsidRDefault="00544F6C" w:rsidP="002F2079">
      <w:pPr>
        <w:pStyle w:val="Carlo"/>
      </w:pPr>
      <w:r>
        <w:t>The relevant policing objective of Use Case B is to locate persons on a PSO watchlist.  LFR may also be used to deter or disrupt the attendance of those who pose a threat to CNI or public safety, as the case may be (</w:t>
      </w:r>
      <w:r w:rsidR="00755FCC">
        <w:t>para.</w:t>
      </w:r>
      <w:r>
        <w:t xml:space="preserve">2.8).     </w:t>
      </w:r>
    </w:p>
    <w:p w14:paraId="1ABF9254" w14:textId="77777777" w:rsidR="00544F6C" w:rsidRPr="00FD2016" w:rsidRDefault="00544F6C" w:rsidP="002F2079">
      <w:pPr>
        <w:pStyle w:val="ParaLevel1"/>
        <w:numPr>
          <w:ilvl w:val="0"/>
          <w:numId w:val="0"/>
        </w:numPr>
        <w:rPr>
          <w:i/>
          <w:iCs/>
        </w:rPr>
      </w:pPr>
      <w:r w:rsidRPr="00FD2016">
        <w:rPr>
          <w:i/>
          <w:iCs/>
        </w:rPr>
        <w:t>Use Case C</w:t>
      </w:r>
    </w:p>
    <w:p w14:paraId="13BCDE33" w14:textId="2A5B26EB" w:rsidR="007D35A8" w:rsidRDefault="00544F6C" w:rsidP="002F2079">
      <w:pPr>
        <w:pStyle w:val="Carlo"/>
      </w:pPr>
      <w:r>
        <w:t xml:space="preserve">Under Use Case C, LFR may be used to </w:t>
      </w:r>
      <w:r w:rsidR="008C6A93">
        <w:t xml:space="preserve">locate people based on </w:t>
      </w:r>
      <w:r>
        <w:t>specific intelligence</w:t>
      </w:r>
      <w:r w:rsidR="003B4830">
        <w:t xml:space="preserve">.  </w:t>
      </w:r>
      <w:r w:rsidR="007D35A8">
        <w:t xml:space="preserve">As set out in </w:t>
      </w:r>
      <w:r w:rsidR="00755FCC">
        <w:t>para.</w:t>
      </w:r>
      <w:r w:rsidR="007D35A8">
        <w:t xml:space="preserve">2.9: </w:t>
      </w:r>
    </w:p>
    <w:p w14:paraId="096BEA1F" w14:textId="0EEAB98C" w:rsidR="007D35A8" w:rsidRDefault="007D35A8" w:rsidP="002F2079">
      <w:pPr>
        <w:pStyle w:val="Quote"/>
      </w:pPr>
      <w:r>
        <w:t>“LFR can be used at a particular location where the MPS has concluded, based on specific intelligence, that a person who is eligible for inclusion on a LFR Watchlist in accordance with the principles set out in Section 4 of this policy is likely to be at that location</w:t>
      </w:r>
      <w:proofErr w:type="gramStart"/>
      <w:r>
        <w:t>. ”</w:t>
      </w:r>
      <w:proofErr w:type="gramEnd"/>
    </w:p>
    <w:p w14:paraId="425D5F75" w14:textId="27998007" w:rsidR="00544F6C" w:rsidRDefault="00544F6C" w:rsidP="002F2079">
      <w:pPr>
        <w:pStyle w:val="Carlo"/>
      </w:pPr>
      <w:r>
        <w:t xml:space="preserve">In the context of this Use Case, LFR can only be used for the purpose of locating the “relevant </w:t>
      </w:r>
      <w:proofErr w:type="spellStart"/>
      <w:r>
        <w:t>watchlisted</w:t>
      </w:r>
      <w:proofErr w:type="spellEnd"/>
      <w:r>
        <w:t xml:space="preserve"> person” (</w:t>
      </w:r>
      <w:r w:rsidR="00755FCC">
        <w:t>para.</w:t>
      </w:r>
      <w:r>
        <w:t xml:space="preserve">2.10).    </w:t>
      </w:r>
    </w:p>
    <w:p w14:paraId="1323D529" w14:textId="2460649C" w:rsidR="00544F6C" w:rsidRDefault="00F51239" w:rsidP="002F2079">
      <w:pPr>
        <w:pStyle w:val="Carlo"/>
      </w:pPr>
      <w:r>
        <w:lastRenderedPageBreak/>
        <w:t>As we have already indicated, i</w:t>
      </w:r>
      <w:r w:rsidR="00544F6C">
        <w:t>t is an important further constraint that, unless the deployment of LFR falls within one of these three Use Cases, LFR technology is not permitted (</w:t>
      </w:r>
      <w:r w:rsidR="00755FCC">
        <w:t>para.</w:t>
      </w:r>
      <w:r w:rsidR="00544F6C">
        <w:t xml:space="preserve">2.2).    </w:t>
      </w:r>
    </w:p>
    <w:p w14:paraId="60B54E93" w14:textId="4C26F5B3" w:rsidR="00544F6C" w:rsidRPr="00D8603B" w:rsidRDefault="00544F6C" w:rsidP="002F2079">
      <w:pPr>
        <w:pStyle w:val="ParaLevel1"/>
        <w:numPr>
          <w:ilvl w:val="0"/>
          <w:numId w:val="0"/>
        </w:numPr>
        <w:rPr>
          <w:b/>
          <w:bCs/>
          <w:i/>
          <w:iCs/>
        </w:rPr>
      </w:pPr>
      <w:r w:rsidRPr="00D8603B">
        <w:rPr>
          <w:b/>
          <w:bCs/>
          <w:i/>
          <w:iCs/>
        </w:rPr>
        <w:t xml:space="preserve">The “who” </w:t>
      </w:r>
      <w:r w:rsidR="00EB4AC9" w:rsidRPr="00D8603B">
        <w:rPr>
          <w:b/>
          <w:bCs/>
          <w:i/>
          <w:iCs/>
        </w:rPr>
        <w:t>issue</w:t>
      </w:r>
    </w:p>
    <w:p w14:paraId="26943E96" w14:textId="6DE5CA23" w:rsidR="00544F6C" w:rsidRDefault="00544F6C" w:rsidP="002F2079">
      <w:pPr>
        <w:pStyle w:val="Carlo"/>
      </w:pPr>
      <w:r>
        <w:t xml:space="preserve">The inclusion of Sought Persons on any </w:t>
      </w:r>
      <w:proofErr w:type="gramStart"/>
      <w:r>
        <w:t>particular watchlist</w:t>
      </w:r>
      <w:proofErr w:type="gramEnd"/>
      <w:r>
        <w:t xml:space="preserve"> is “responsive to the particular use case being considered for LFR Deployment” (</w:t>
      </w:r>
      <w:r w:rsidR="00755FCC">
        <w:t>para.</w:t>
      </w:r>
      <w:r>
        <w:t xml:space="preserve">4.1).  It follows that there must be a connection between the persons on any </w:t>
      </w:r>
      <w:proofErr w:type="gramStart"/>
      <w:r>
        <w:t>particular watchlist</w:t>
      </w:r>
      <w:proofErr w:type="gramEnd"/>
      <w:r>
        <w:t xml:space="preserve"> and the use to which the watchlist will be put.  </w:t>
      </w:r>
    </w:p>
    <w:p w14:paraId="2031CA86" w14:textId="77777777" w:rsidR="00544F6C" w:rsidRPr="00BA608D" w:rsidRDefault="00544F6C" w:rsidP="002F2079">
      <w:pPr>
        <w:pStyle w:val="ParaLevel1"/>
        <w:numPr>
          <w:ilvl w:val="0"/>
          <w:numId w:val="0"/>
        </w:numPr>
        <w:rPr>
          <w:i/>
          <w:iCs/>
        </w:rPr>
      </w:pPr>
      <w:r w:rsidRPr="00BA608D">
        <w:rPr>
          <w:i/>
          <w:iCs/>
        </w:rPr>
        <w:t>Use Case A</w:t>
      </w:r>
    </w:p>
    <w:p w14:paraId="31333BD7" w14:textId="77777777" w:rsidR="00544F6C" w:rsidRDefault="00544F6C" w:rsidP="002F2079">
      <w:pPr>
        <w:pStyle w:val="Carlo"/>
      </w:pPr>
      <w:r>
        <w:t xml:space="preserve">The persons liable to be included on a crime hotspot watchlist are set out in paragraph 4.3 of the Policy as follows: </w:t>
      </w:r>
    </w:p>
    <w:p w14:paraId="158B73AF" w14:textId="77777777" w:rsidR="00544F6C" w:rsidRDefault="00544F6C" w:rsidP="002F2079">
      <w:pPr>
        <w:pStyle w:val="Quote"/>
      </w:pPr>
      <w:r>
        <w:t xml:space="preserve">“(a) those persons sought by the BCU/OCU with responsibility for the Deployment location where there are reasonable grounds to suspect that the individual is about to commit, is committing or has committed a recordable offence amounting to one or more Relevant Hotspot Offence Types for that crime hotspot </w:t>
      </w:r>
      <w:proofErr w:type="gramStart"/>
      <w:r>
        <w:t>location;</w:t>
      </w:r>
      <w:proofErr w:type="gramEnd"/>
      <w:r>
        <w:t xml:space="preserve"> </w:t>
      </w:r>
    </w:p>
    <w:p w14:paraId="21E1CC7B" w14:textId="77777777" w:rsidR="00544F6C" w:rsidRDefault="00544F6C" w:rsidP="002F2079">
      <w:pPr>
        <w:pStyle w:val="Quote"/>
      </w:pPr>
      <w:r>
        <w:t xml:space="preserve">(b) those persons suspected by the MPS of having committed a serious crime or where there are reasonable grounds to suspect that the individual is about to commit or is in the process of committing a serious </w:t>
      </w:r>
      <w:proofErr w:type="gramStart"/>
      <w:r>
        <w:t>crime;</w:t>
      </w:r>
      <w:proofErr w:type="gramEnd"/>
    </w:p>
    <w:p w14:paraId="6E6E3E3B" w14:textId="77777777" w:rsidR="00544F6C" w:rsidRDefault="00544F6C" w:rsidP="002F2079">
      <w:pPr>
        <w:pStyle w:val="Quote"/>
      </w:pPr>
      <w:r>
        <w:t xml:space="preserve">(c) those wanted by the </w:t>
      </w:r>
      <w:proofErr w:type="gramStart"/>
      <w:r>
        <w:t>courts;</w:t>
      </w:r>
      <w:proofErr w:type="gramEnd"/>
      <w:r>
        <w:t xml:space="preserve"> </w:t>
      </w:r>
    </w:p>
    <w:p w14:paraId="16565C71" w14:textId="77777777" w:rsidR="00544F6C" w:rsidRDefault="00544F6C" w:rsidP="002F2079">
      <w:pPr>
        <w:pStyle w:val="Quote"/>
      </w:pPr>
      <w:r>
        <w:t>(d) those who are subject to court orders that (</w:t>
      </w:r>
      <w:proofErr w:type="spellStart"/>
      <w:r>
        <w:t>i</w:t>
      </w:r>
      <w:proofErr w:type="spellEnd"/>
      <w:r>
        <w:t xml:space="preserve">) if breached would render the subject liable to arrest and (ii) have been imposed on the subject where either (1) the offence or offences for which they have been charged and/or convicted are of a type amounting to one or more Relevant Hotspot Offence Types for that crime hotspot location or (2) where the subject is subject to a civil order not made during criminal proceedings, and the purpose of the order is to protect a person or persons from criminality amounting to one or more Relevant Hotspot Offence Types for that crime hotspot location; and </w:t>
      </w:r>
    </w:p>
    <w:p w14:paraId="0A250A09" w14:textId="77777777" w:rsidR="00544F6C" w:rsidRDefault="00544F6C" w:rsidP="002F2079">
      <w:pPr>
        <w:pStyle w:val="Quote"/>
      </w:pPr>
      <w:r>
        <w:t xml:space="preserve">(e) offenders who are subject to court orders or other restrictions under Multi-Agency Public Protection Arrangements pursuant to Section 325 to 327B of the Criminal Justice Act 2003 </w:t>
      </w:r>
      <w:proofErr w:type="gramStart"/>
      <w:r>
        <w:t>in order to</w:t>
      </w:r>
      <w:proofErr w:type="gramEnd"/>
      <w:r>
        <w:t xml:space="preserve"> protect the public.”</w:t>
      </w:r>
    </w:p>
    <w:p w14:paraId="555403CC" w14:textId="06644866" w:rsidR="00197137" w:rsidRDefault="00500EAD" w:rsidP="002F2079">
      <w:pPr>
        <w:pStyle w:val="ParaLevel1"/>
      </w:pPr>
      <w:r>
        <w:t xml:space="preserve">In so far as the persons </w:t>
      </w:r>
      <w:r w:rsidR="004439EF">
        <w:t xml:space="preserve">who may be included on a crime hotspot watchlist are constrained by reference to </w:t>
      </w:r>
      <w:r w:rsidR="002E74EF">
        <w:t xml:space="preserve">those associated with </w:t>
      </w:r>
      <w:r w:rsidR="00EF3CCB">
        <w:t>“</w:t>
      </w:r>
      <w:r w:rsidR="004439EF">
        <w:t>Relevant Hotspot Offence Types</w:t>
      </w:r>
      <w:r w:rsidR="00EF3CCB">
        <w:t>”</w:t>
      </w:r>
      <w:r w:rsidR="00A5081B">
        <w:t xml:space="preserve">, this term </w:t>
      </w:r>
      <w:r w:rsidR="002340F8">
        <w:t xml:space="preserve">is defined in Annex A of the Policy as meaning </w:t>
      </w:r>
      <w:r w:rsidR="00AF731B">
        <w:t>“r</w:t>
      </w:r>
      <w:r w:rsidR="004439EF">
        <w:t>elevant offences that have been committed or are likely to be committed in the</w:t>
      </w:r>
      <w:r w:rsidR="00246C89">
        <w:t xml:space="preserve"> c</w:t>
      </w:r>
      <w:r w:rsidR="004439EF">
        <w:t>rime hotspot by reference to crime data and/or MPS intelligence reporting and/or operational experience</w:t>
      </w:r>
      <w:r w:rsidR="003A279F">
        <w:t>.</w:t>
      </w:r>
      <w:r w:rsidR="00AF731B">
        <w:t xml:space="preserve">” </w:t>
      </w:r>
      <w:r w:rsidR="00246C89">
        <w:t xml:space="preserve">Annex </w:t>
      </w:r>
      <w:r w:rsidR="004C27CD">
        <w:t>G</w:t>
      </w:r>
      <w:r w:rsidR="00246C89">
        <w:t xml:space="preserve"> </w:t>
      </w:r>
      <w:r w:rsidR="00336BCF">
        <w:t>lists the relevant offence types</w:t>
      </w:r>
      <w:r w:rsidR="00736A59">
        <w:t xml:space="preserve"> </w:t>
      </w:r>
      <w:r w:rsidR="004C27CD">
        <w:t xml:space="preserve">namely: theft and kindred offences; sexual offences; violent </w:t>
      </w:r>
      <w:r w:rsidR="004C27CD">
        <w:lastRenderedPageBreak/>
        <w:t>and/or weapons related offences; drugs offences; terrorism offences; bail offences; fraud and dishonesty offences</w:t>
      </w:r>
      <w:r w:rsidR="00197137">
        <w:t xml:space="preserve">; </w:t>
      </w:r>
      <w:r w:rsidR="004C27CD">
        <w:t>damage to property offences</w:t>
      </w:r>
      <w:r w:rsidR="00197137">
        <w:t>; f</w:t>
      </w:r>
      <w:r w:rsidR="004C27CD">
        <w:t>irearms offences</w:t>
      </w:r>
      <w:r w:rsidR="00197137">
        <w:t>; i</w:t>
      </w:r>
      <w:r w:rsidR="004C27CD">
        <w:t>mmigration offences</w:t>
      </w:r>
      <w:r w:rsidR="00197137">
        <w:t>; and m</w:t>
      </w:r>
      <w:r w:rsidR="004C27CD">
        <w:t>odern slavery, kidnap, human trafficking and kindred offences</w:t>
      </w:r>
      <w:r w:rsidR="004439EF">
        <w:t xml:space="preserve">.  </w:t>
      </w:r>
    </w:p>
    <w:p w14:paraId="49FEAA79" w14:textId="0BDA982A" w:rsidR="00544F6C" w:rsidRDefault="00544F6C" w:rsidP="002F2079">
      <w:pPr>
        <w:pStyle w:val="ParaLevel1"/>
      </w:pPr>
      <w:r>
        <w:t>As regards a missing person hotspot, the Policy states that “</w:t>
      </w:r>
      <w:r w:rsidR="0029139F">
        <w:t>All</w:t>
      </w:r>
      <w:r>
        <w:t xml:space="preserve"> missing persons sought by the MPS will be added to the LFR Watchlist for a Missing Person Hotspot” (</w:t>
      </w:r>
      <w:r w:rsidR="00755FCC">
        <w:t>para.</w:t>
      </w:r>
      <w:r>
        <w:t xml:space="preserve">4.4).  </w:t>
      </w:r>
    </w:p>
    <w:p w14:paraId="49DECE6E" w14:textId="77777777" w:rsidR="00544F6C" w:rsidRPr="00CC2B33" w:rsidRDefault="00544F6C" w:rsidP="002F2079">
      <w:pPr>
        <w:pStyle w:val="ParaLevel1"/>
        <w:numPr>
          <w:ilvl w:val="0"/>
          <w:numId w:val="0"/>
        </w:numPr>
        <w:rPr>
          <w:i/>
          <w:iCs/>
        </w:rPr>
      </w:pPr>
      <w:r w:rsidRPr="00CC2B33">
        <w:rPr>
          <w:i/>
          <w:iCs/>
        </w:rPr>
        <w:t>Use Case B</w:t>
      </w:r>
    </w:p>
    <w:p w14:paraId="11B4C731" w14:textId="6CC4579E" w:rsidR="00253368" w:rsidRDefault="00544F6C" w:rsidP="002F2079">
      <w:pPr>
        <w:pStyle w:val="Carlo"/>
      </w:pPr>
      <w:r>
        <w:t xml:space="preserve">The categories of persons who may be placed on a PSO watchlist </w:t>
      </w:r>
      <w:r w:rsidR="00253368">
        <w:t>are specified in detail at para</w:t>
      </w:r>
      <w:r w:rsidR="00D019C6">
        <w:t>graph</w:t>
      </w:r>
      <w:r w:rsidR="00253368">
        <w:t xml:space="preserve"> 4.5: </w:t>
      </w:r>
    </w:p>
    <w:p w14:paraId="740B127C" w14:textId="6FB82C9C" w:rsidR="00253368" w:rsidRDefault="00253368" w:rsidP="002F2079">
      <w:pPr>
        <w:pStyle w:val="Quote"/>
      </w:pPr>
      <w:r>
        <w:t>“</w:t>
      </w:r>
      <w:r w:rsidR="00120171">
        <w:t xml:space="preserve">(a) </w:t>
      </w:r>
      <w:r>
        <w:t xml:space="preserve">any person who has been convicted of or cautioned for a crime under s.2 of the Explosive Substances Act 1883, the Terrorism Act 2000, the Terrorism Act 2006, the National Security Act 2023 or is otherwise subject to a Part IV notification requirement under the Counter Terrorism Act </w:t>
      </w:r>
      <w:proofErr w:type="gramStart"/>
      <w:r>
        <w:t>2008;</w:t>
      </w:r>
      <w:proofErr w:type="gramEnd"/>
      <w:r>
        <w:t xml:space="preserve"> </w:t>
      </w:r>
    </w:p>
    <w:p w14:paraId="41C2C891" w14:textId="77777777" w:rsidR="00120171" w:rsidRDefault="00253368" w:rsidP="002F2079">
      <w:pPr>
        <w:pStyle w:val="Quote"/>
      </w:pPr>
      <w:r>
        <w:t xml:space="preserve"> </w:t>
      </w:r>
      <w:r w:rsidR="00120171">
        <w:t xml:space="preserve">(b) </w:t>
      </w:r>
      <w:r>
        <w:t xml:space="preserve">those persons sought by the MPS where there are reasonable grounds to suspect that the individual is about to commit, is committing or has committed a recordable offence of a type giving rise to a threat to public </w:t>
      </w:r>
      <w:proofErr w:type="gramStart"/>
      <w:r>
        <w:t>safety;</w:t>
      </w:r>
      <w:proofErr w:type="gramEnd"/>
      <w:r>
        <w:t xml:space="preserve"> </w:t>
      </w:r>
    </w:p>
    <w:p w14:paraId="420506F7" w14:textId="77777777" w:rsidR="009629BD" w:rsidRDefault="00120171" w:rsidP="002F2079">
      <w:pPr>
        <w:pStyle w:val="Quote"/>
      </w:pPr>
      <w:r>
        <w:t xml:space="preserve">(c) </w:t>
      </w:r>
      <w:r w:rsidR="00253368">
        <w:t xml:space="preserve">those persons sought by the MPS where there are reasonable grounds to suspect that the individual is about to commit, is committing or has committed a serious </w:t>
      </w:r>
      <w:proofErr w:type="gramStart"/>
      <w:r w:rsidR="00253368">
        <w:t>crime;</w:t>
      </w:r>
      <w:proofErr w:type="gramEnd"/>
      <w:r w:rsidR="00253368">
        <w:t xml:space="preserve"> </w:t>
      </w:r>
    </w:p>
    <w:p w14:paraId="461E9293" w14:textId="77777777" w:rsidR="00CD2FEA" w:rsidRDefault="009629BD" w:rsidP="002F2079">
      <w:pPr>
        <w:pStyle w:val="Quote"/>
      </w:pPr>
      <w:r>
        <w:t xml:space="preserve">(d) </w:t>
      </w:r>
      <w:r w:rsidR="00253368">
        <w:t xml:space="preserve">those wanted by the </w:t>
      </w:r>
      <w:proofErr w:type="gramStart"/>
      <w:r w:rsidR="00253368">
        <w:t>courts;</w:t>
      </w:r>
      <w:proofErr w:type="gramEnd"/>
      <w:r w:rsidR="00253368">
        <w:t xml:space="preserve"> </w:t>
      </w:r>
    </w:p>
    <w:p w14:paraId="4FA9D10B" w14:textId="19DCD5A8" w:rsidR="006622BB" w:rsidRDefault="00CD2FEA" w:rsidP="002F2079">
      <w:pPr>
        <w:pStyle w:val="Quote"/>
      </w:pPr>
      <w:r>
        <w:t xml:space="preserve">(e) </w:t>
      </w:r>
      <w:r w:rsidR="00253368">
        <w:t>those persons who are subject to court orders or a banning order in relation to domestic or international travel infrastructure (</w:t>
      </w:r>
      <w:proofErr w:type="spellStart"/>
      <w:r w:rsidR="00253368">
        <w:t>i</w:t>
      </w:r>
      <w:proofErr w:type="spellEnd"/>
      <w:r w:rsidR="00253368">
        <w:t xml:space="preserve">) prohibiting them from traveling to, </w:t>
      </w:r>
      <w:r w:rsidR="00402E7A">
        <w:t>or being in the PSO area (</w:t>
      </w:r>
      <w:proofErr w:type="gramStart"/>
      <w:r w:rsidR="00402E7A">
        <w:t>whether or not</w:t>
      </w:r>
      <w:proofErr w:type="gramEnd"/>
      <w:r w:rsidR="00402E7A">
        <w:t xml:space="preserve"> that prohibition is qualified) and (ii) if breached would render them liable to be </w:t>
      </w:r>
      <w:proofErr w:type="gramStart"/>
      <w:r w:rsidR="00402E7A">
        <w:t>arrested;</w:t>
      </w:r>
      <w:proofErr w:type="gramEnd"/>
      <w:r w:rsidR="00402E7A">
        <w:t xml:space="preserve"> </w:t>
      </w:r>
    </w:p>
    <w:p w14:paraId="4CC06B65" w14:textId="5CF7452B" w:rsidR="00402E7A" w:rsidRDefault="006622BB" w:rsidP="002F2079">
      <w:pPr>
        <w:pStyle w:val="Quote"/>
      </w:pPr>
      <w:r>
        <w:t>(</w:t>
      </w:r>
      <w:r w:rsidR="00CD2FEA">
        <w:t>f</w:t>
      </w:r>
      <w:r>
        <w:t xml:space="preserve">) </w:t>
      </w:r>
      <w:r w:rsidR="00402E7A">
        <w:t>those persons who are subject to court orders that (</w:t>
      </w:r>
      <w:proofErr w:type="spellStart"/>
      <w:r w:rsidR="00402E7A">
        <w:t>i</w:t>
      </w:r>
      <w:proofErr w:type="spellEnd"/>
      <w:r w:rsidR="00402E7A">
        <w:t>) if breached would render the subject liable to arrest and (ii) have been imposed on the subject where either (1) the offences for which they have been charged are violent, terrorist-related or weapon-related offences or (2) where the subject is subject to a court order not made during criminal proceedings</w:t>
      </w:r>
      <w:r w:rsidR="00DC7394">
        <w:t xml:space="preserve">, </w:t>
      </w:r>
      <w:r w:rsidR="00402E7A">
        <w:t xml:space="preserve">and the purpose of the order is to protect the public from violent, terrorist-related or weapon-related crime;  </w:t>
      </w:r>
    </w:p>
    <w:p w14:paraId="4F6D7179" w14:textId="74615CFB" w:rsidR="00402E7A" w:rsidRDefault="00402E7A" w:rsidP="002F2079">
      <w:pPr>
        <w:pStyle w:val="Quote"/>
      </w:pPr>
      <w:r>
        <w:t xml:space="preserve"> </w:t>
      </w:r>
      <w:r w:rsidR="00DC7394">
        <w:t xml:space="preserve">(g) </w:t>
      </w:r>
      <w:r>
        <w:t>in the context of an LFR deployment so support an Event PSO, those persons who are subject to court orders that (</w:t>
      </w:r>
      <w:proofErr w:type="spellStart"/>
      <w:r>
        <w:t>i</w:t>
      </w:r>
      <w:proofErr w:type="spellEnd"/>
      <w:r>
        <w:t xml:space="preserve">) if breached would render the subject liable to arrest and (ii) have been imposed on the subject where either (1) the offences for which they have been charged are sexual offences or (2) where </w:t>
      </w:r>
      <w:r>
        <w:lastRenderedPageBreak/>
        <w:t>the individual is subject to a court order not made during criminal proceedings</w:t>
      </w:r>
      <w:r w:rsidR="00DC7394">
        <w:t xml:space="preserve"> </w:t>
      </w:r>
      <w:r>
        <w:t xml:space="preserve">and the purpose of the order is to protect the public from sexual offences;  </w:t>
      </w:r>
    </w:p>
    <w:p w14:paraId="477563A1" w14:textId="6FF21436" w:rsidR="00402E7A" w:rsidRDefault="00D53D31" w:rsidP="002F2079">
      <w:pPr>
        <w:pStyle w:val="Quote"/>
      </w:pPr>
      <w:r>
        <w:t xml:space="preserve">(h) </w:t>
      </w:r>
      <w:r w:rsidR="00402E7A">
        <w:t xml:space="preserve">offenders who are subject to court orders or other restrictions under Multi-Agency Public Protection Arrangements pursuant to Section 325 to 327B of the Criminal Justice Act 2003 </w:t>
      </w:r>
      <w:proofErr w:type="gramStart"/>
      <w:r w:rsidR="00402E7A">
        <w:t>in order to</w:t>
      </w:r>
      <w:proofErr w:type="gramEnd"/>
      <w:r w:rsidR="00402E7A">
        <w:t xml:space="preserve"> protect the </w:t>
      </w:r>
      <w:proofErr w:type="gramStart"/>
      <w:r w:rsidR="00402E7A">
        <w:t>public</w:t>
      </w:r>
      <w:r>
        <w:t>;</w:t>
      </w:r>
      <w:proofErr w:type="gramEnd"/>
      <w:r>
        <w:t xml:space="preserve"> </w:t>
      </w:r>
    </w:p>
    <w:p w14:paraId="03A23013" w14:textId="74ACCACD" w:rsidR="00544F6C" w:rsidRDefault="00D53D31" w:rsidP="002F2079">
      <w:pPr>
        <w:pStyle w:val="Quote"/>
      </w:pPr>
      <w:r>
        <w:t>(</w:t>
      </w:r>
      <w:proofErr w:type="spellStart"/>
      <w:r>
        <w:t>i</w:t>
      </w:r>
      <w:proofErr w:type="spellEnd"/>
      <w:r>
        <w:t xml:space="preserve">) </w:t>
      </w:r>
      <w:r w:rsidR="00402E7A">
        <w:t xml:space="preserve">those persons sought for examination pursuant to Schedule 7 of the Terrorism Act 2000 or Schedule 3 of the </w:t>
      </w:r>
      <w:proofErr w:type="gramStart"/>
      <w:r w:rsidR="00402E7A">
        <w:t>Counter-Terrorism</w:t>
      </w:r>
      <w:proofErr w:type="gramEnd"/>
      <w:r w:rsidR="00402E7A">
        <w:t xml:space="preserve"> and Border Security Act 2019 providing that the Deployment location is one where it is lawful to undertake an examination as specified by the applicable legislation.</w:t>
      </w:r>
      <w:r w:rsidR="00253368">
        <w:t>”</w:t>
      </w:r>
    </w:p>
    <w:p w14:paraId="671E9EBB" w14:textId="57A4FC74" w:rsidR="00E46ED2" w:rsidRDefault="00E46ED2" w:rsidP="002F2079">
      <w:pPr>
        <w:pStyle w:val="Carlo"/>
        <w:rPr>
          <w:i/>
          <w:iCs/>
        </w:rPr>
      </w:pPr>
      <w:r>
        <w:t xml:space="preserve">There was and could be no challenge to the </w:t>
      </w:r>
      <w:r w:rsidR="00F90751">
        <w:t xml:space="preserve">accessibility or foreseeability of this part of the Policy. </w:t>
      </w:r>
    </w:p>
    <w:p w14:paraId="001B01C7" w14:textId="383512CA" w:rsidR="00544F6C" w:rsidRPr="00CC2B33" w:rsidRDefault="00544F6C" w:rsidP="002F2079">
      <w:pPr>
        <w:pStyle w:val="ParaLevel1"/>
        <w:numPr>
          <w:ilvl w:val="0"/>
          <w:numId w:val="0"/>
        </w:numPr>
        <w:rPr>
          <w:i/>
          <w:iCs/>
        </w:rPr>
      </w:pPr>
      <w:r w:rsidRPr="00CC2B33">
        <w:rPr>
          <w:i/>
          <w:iCs/>
        </w:rPr>
        <w:t>Use Case C</w:t>
      </w:r>
    </w:p>
    <w:p w14:paraId="271FDD9A" w14:textId="2853B7EF" w:rsidR="00544F6C" w:rsidRDefault="00544F6C" w:rsidP="002F2079">
      <w:pPr>
        <w:pStyle w:val="Carlo"/>
      </w:pPr>
      <w:r>
        <w:t xml:space="preserve">As regards specific intelligence, </w:t>
      </w:r>
      <w:r w:rsidR="00104144">
        <w:t xml:space="preserve">paragraph 4.6 of </w:t>
      </w:r>
      <w:r>
        <w:t xml:space="preserve">the Policy lists </w:t>
      </w:r>
      <w:r w:rsidR="00104144">
        <w:t>those</w:t>
      </w:r>
      <w:r>
        <w:t xml:space="preserve"> categories of persons who will be added to an LFR watchlist in respect of any Use Case where the MPS has specific intelligence which indicates that a person falling within one of the categories is likely to be </w:t>
      </w:r>
      <w:proofErr w:type="gramStart"/>
      <w:r>
        <w:t>in the area of</w:t>
      </w:r>
      <w:proofErr w:type="gramEnd"/>
      <w:r>
        <w:t xml:space="preserve"> the proposed LFR deployment.  The categories</w:t>
      </w:r>
      <w:r w:rsidR="00997F38">
        <w:t xml:space="preserve"> are again detailed and</w:t>
      </w:r>
      <w:r w:rsidR="00095896">
        <w:t xml:space="preserve"> specific, namely: </w:t>
      </w:r>
      <w:r>
        <w:t xml:space="preserve">   </w:t>
      </w:r>
    </w:p>
    <w:p w14:paraId="7E66BC1E" w14:textId="1E0AC6CF" w:rsidR="00417E29" w:rsidRDefault="00417E29" w:rsidP="002F2079">
      <w:pPr>
        <w:pStyle w:val="Quote"/>
      </w:pPr>
      <w:r>
        <w:t>“</w:t>
      </w:r>
      <w:r w:rsidR="00F3255F">
        <w:t>(a) t</w:t>
      </w:r>
      <w:r>
        <w:t xml:space="preserve">hose persons in respect whom there are reasonable grounds to suspect that the individual is about to commit, is committing or has committed a serious </w:t>
      </w:r>
      <w:proofErr w:type="gramStart"/>
      <w:r>
        <w:t>crime;</w:t>
      </w:r>
      <w:proofErr w:type="gramEnd"/>
      <w:r>
        <w:t xml:space="preserve">  </w:t>
      </w:r>
    </w:p>
    <w:p w14:paraId="464BCC60" w14:textId="617424C8" w:rsidR="00417E29" w:rsidRDefault="00F3255F" w:rsidP="002F2079">
      <w:pPr>
        <w:pStyle w:val="Quote"/>
      </w:pPr>
      <w:r>
        <w:t xml:space="preserve">(b) </w:t>
      </w:r>
      <w:r w:rsidR="00417E29">
        <w:t xml:space="preserve">those wanted by the </w:t>
      </w:r>
      <w:proofErr w:type="gramStart"/>
      <w:r w:rsidR="00417E29">
        <w:t>courts;</w:t>
      </w:r>
      <w:proofErr w:type="gramEnd"/>
      <w:r w:rsidR="00417E29">
        <w:t xml:space="preserve"> </w:t>
      </w:r>
    </w:p>
    <w:p w14:paraId="42D3D68E" w14:textId="69EDC38F" w:rsidR="00417E29" w:rsidRDefault="00F3255F" w:rsidP="002F2079">
      <w:pPr>
        <w:pStyle w:val="Quote"/>
      </w:pPr>
      <w:r>
        <w:t xml:space="preserve">(c) </w:t>
      </w:r>
      <w:r w:rsidR="00417E29">
        <w:t>offenders who are subject to court orders or other restrictions under Multi-</w:t>
      </w:r>
      <w:proofErr w:type="gramStart"/>
      <w:r w:rsidR="00417E29">
        <w:t xml:space="preserve">Agency </w:t>
      </w:r>
      <w:r>
        <w:t xml:space="preserve"> </w:t>
      </w:r>
      <w:r w:rsidR="00417E29">
        <w:t>Public</w:t>
      </w:r>
      <w:proofErr w:type="gramEnd"/>
      <w:r w:rsidR="00417E29">
        <w:t xml:space="preserve"> Protection Arrangements pursuant to Section 325 to 327B of the Criminal Justice Act 2003 </w:t>
      </w:r>
      <w:proofErr w:type="gramStart"/>
      <w:r w:rsidR="00417E29">
        <w:t>in order to</w:t>
      </w:r>
      <w:proofErr w:type="gramEnd"/>
      <w:r w:rsidR="00417E29">
        <w:t xml:space="preserve"> protect the </w:t>
      </w:r>
      <w:proofErr w:type="gramStart"/>
      <w:r w:rsidR="00417E29">
        <w:t>public;</w:t>
      </w:r>
      <w:proofErr w:type="gramEnd"/>
    </w:p>
    <w:p w14:paraId="34DF583B" w14:textId="19EFA0CC" w:rsidR="00417E29" w:rsidRDefault="0026026E" w:rsidP="002F2079">
      <w:pPr>
        <w:pStyle w:val="Quote"/>
      </w:pPr>
      <w:r>
        <w:t xml:space="preserve">(d) </w:t>
      </w:r>
      <w:r w:rsidR="00417E29">
        <w:t xml:space="preserve">missing </w:t>
      </w:r>
      <w:proofErr w:type="gramStart"/>
      <w:r w:rsidR="00417E29">
        <w:t>persons;</w:t>
      </w:r>
      <w:proofErr w:type="gramEnd"/>
      <w:r w:rsidR="00417E29">
        <w:t xml:space="preserve"> </w:t>
      </w:r>
    </w:p>
    <w:p w14:paraId="7748B256" w14:textId="7DB5F42C" w:rsidR="00417E29" w:rsidRDefault="0026026E" w:rsidP="002F2079">
      <w:pPr>
        <w:pStyle w:val="Quote"/>
      </w:pPr>
      <w:r>
        <w:t xml:space="preserve">(e) </w:t>
      </w:r>
      <w:r w:rsidR="00417E29">
        <w:t xml:space="preserve">vulnerable persons requiring a response to ensure their </w:t>
      </w:r>
      <w:proofErr w:type="gramStart"/>
      <w:r w:rsidR="00417E29">
        <w:t>safety;</w:t>
      </w:r>
      <w:proofErr w:type="gramEnd"/>
      <w:r w:rsidR="00417E29">
        <w:t xml:space="preserve"> </w:t>
      </w:r>
    </w:p>
    <w:p w14:paraId="2CD64C09" w14:textId="48654780" w:rsidR="00417E29" w:rsidRDefault="0026026E" w:rsidP="002F2079">
      <w:pPr>
        <w:pStyle w:val="Quote"/>
      </w:pPr>
      <w:r>
        <w:t xml:space="preserve">(f) </w:t>
      </w:r>
      <w:r w:rsidR="00417E29">
        <w:t xml:space="preserve">a victim of serious crime, where this is necessary </w:t>
      </w:r>
      <w:proofErr w:type="gramStart"/>
      <w:r w:rsidR="00417E29">
        <w:t>in order to</w:t>
      </w:r>
      <w:proofErr w:type="gramEnd"/>
      <w:r w:rsidR="00417E29">
        <w:t xml:space="preserve"> advance a policing investigation and/or to ensure the safety of the victim.”</w:t>
      </w:r>
    </w:p>
    <w:p w14:paraId="4E1E73CB" w14:textId="32DB8660" w:rsidR="009525C0" w:rsidRPr="009525C0" w:rsidRDefault="00F42817" w:rsidP="002F2079">
      <w:pPr>
        <w:pStyle w:val="Carlo"/>
        <w:rPr>
          <w:b/>
          <w:bCs/>
        </w:rPr>
      </w:pPr>
      <w:r>
        <w:t>Once again, there was and could be no challenge to the accessibility o</w:t>
      </w:r>
      <w:r w:rsidR="00881923">
        <w:t>r</w:t>
      </w:r>
      <w:r>
        <w:t xml:space="preserve"> foreseeability of this part of the Policy. </w:t>
      </w:r>
    </w:p>
    <w:p w14:paraId="0C851A2B" w14:textId="7074DBBA" w:rsidR="00544F6C" w:rsidRPr="00D8603B" w:rsidRDefault="00544F6C" w:rsidP="002F2079">
      <w:pPr>
        <w:pStyle w:val="ParaLevel1"/>
        <w:numPr>
          <w:ilvl w:val="0"/>
          <w:numId w:val="0"/>
        </w:numPr>
        <w:rPr>
          <w:b/>
          <w:bCs/>
          <w:i/>
          <w:iCs/>
        </w:rPr>
      </w:pPr>
      <w:r w:rsidRPr="00D8603B">
        <w:rPr>
          <w:b/>
          <w:bCs/>
          <w:i/>
          <w:iCs/>
        </w:rPr>
        <w:t xml:space="preserve">The “where” </w:t>
      </w:r>
      <w:r w:rsidR="00863B03" w:rsidRPr="00D8603B">
        <w:rPr>
          <w:b/>
          <w:bCs/>
          <w:i/>
          <w:iCs/>
        </w:rPr>
        <w:t>issue</w:t>
      </w:r>
    </w:p>
    <w:p w14:paraId="69498E7A" w14:textId="77777777" w:rsidR="00544F6C" w:rsidRDefault="00544F6C" w:rsidP="002F2079">
      <w:pPr>
        <w:pStyle w:val="Carlo"/>
      </w:pPr>
      <w:r>
        <w:t>Section 5 of the Policy deals with the locations where the use of LFR is permitted.   It states as follows:</w:t>
      </w:r>
    </w:p>
    <w:p w14:paraId="45EBDAA0" w14:textId="77777777" w:rsidR="00544F6C" w:rsidRDefault="00544F6C" w:rsidP="002F2079">
      <w:pPr>
        <w:pStyle w:val="Quote"/>
      </w:pPr>
      <w:r>
        <w:lastRenderedPageBreak/>
        <w:t xml:space="preserve">“5.1 The location for a specific LFR Deployment is responsive to the use case for which LFR is proposed for Deployment.  </w:t>
      </w:r>
    </w:p>
    <w:p w14:paraId="042F1315" w14:textId="77777777" w:rsidR="00544F6C" w:rsidRDefault="00544F6C" w:rsidP="002F2079">
      <w:pPr>
        <w:pStyle w:val="Quote"/>
      </w:pPr>
      <w:r>
        <w:t xml:space="preserve">5.2 </w:t>
      </w:r>
      <w:r w:rsidRPr="00C05BF3">
        <w:rPr>
          <w:b/>
          <w:bCs/>
        </w:rPr>
        <w:t>Hotspot</w:t>
      </w:r>
      <w:r>
        <w:t xml:space="preserve"> – LFR can be used at a hotspot, or at access routes within an approximately 300m radius of a hotspot location.  </w:t>
      </w:r>
    </w:p>
    <w:p w14:paraId="1CFBAFC6" w14:textId="77777777" w:rsidR="00544F6C" w:rsidRDefault="00544F6C" w:rsidP="002F2079">
      <w:pPr>
        <w:pStyle w:val="Quote"/>
      </w:pPr>
      <w:r>
        <w:t xml:space="preserve">5.3 </w:t>
      </w:r>
      <w:r w:rsidRPr="00C05BF3">
        <w:rPr>
          <w:b/>
          <w:bCs/>
        </w:rPr>
        <w:t>Protective security operation</w:t>
      </w:r>
      <w:r>
        <w:t xml:space="preserve"> – LFR can be used within and up to an approximate 300m radius of the external boundary area of the critical national infrastructure or event (as the case may be) or at the nearest practicable location to the nearest operational transport access points to the critical national infrastructure or event (as the case may be). </w:t>
      </w:r>
    </w:p>
    <w:p w14:paraId="7E92F9AC" w14:textId="77777777" w:rsidR="00544F6C" w:rsidRDefault="00544F6C" w:rsidP="002F2079">
      <w:pPr>
        <w:pStyle w:val="Quote"/>
      </w:pPr>
      <w:r>
        <w:t xml:space="preserve">5.4 Where the use of LFR seeks to locate those sought for examination pursuant to Schedule 7 of the Terrorism Act 2000 or Schedule 3 of the </w:t>
      </w:r>
      <w:proofErr w:type="gramStart"/>
      <w:r>
        <w:t>Counter-Terrorism</w:t>
      </w:r>
      <w:proofErr w:type="gramEnd"/>
      <w:r>
        <w:t xml:space="preserve"> and Border Security Act 2019, the location for the use of LFR must be one at which it is lawful to undertake an examination as specified by the applicable legislation. </w:t>
      </w:r>
    </w:p>
    <w:p w14:paraId="678124E8" w14:textId="77777777" w:rsidR="00544F6C" w:rsidRDefault="00544F6C" w:rsidP="002F2079">
      <w:pPr>
        <w:pStyle w:val="Quote"/>
      </w:pPr>
      <w:r>
        <w:t xml:space="preserve">5.5 </w:t>
      </w:r>
      <w:r w:rsidRPr="00C05BF3">
        <w:rPr>
          <w:b/>
          <w:bCs/>
        </w:rPr>
        <w:t>Specific intelligence</w:t>
      </w:r>
      <w:r>
        <w:t xml:space="preserve"> – LFR can be used where it has been assessed </w:t>
      </w:r>
      <w:proofErr w:type="gramStart"/>
      <w:r>
        <w:t>on the basis of</w:t>
      </w:r>
      <w:proofErr w:type="gramEnd"/>
      <w:r>
        <w:t xml:space="preserve"> a specific intelligence that a person who is eligible for inclusion on a LFR Watchlist is likely to be at that location” (emphasis in the original).  </w:t>
      </w:r>
    </w:p>
    <w:p w14:paraId="6071C7FF" w14:textId="24B5B77F" w:rsidR="00544F6C" w:rsidRPr="00D8603B" w:rsidRDefault="00544F6C" w:rsidP="002F2079">
      <w:pPr>
        <w:pStyle w:val="ParaLevel1"/>
        <w:numPr>
          <w:ilvl w:val="0"/>
          <w:numId w:val="0"/>
        </w:numPr>
        <w:ind w:left="720" w:hanging="720"/>
        <w:rPr>
          <w:i/>
          <w:iCs/>
        </w:rPr>
      </w:pPr>
      <w:r w:rsidRPr="00D8603B">
        <w:rPr>
          <w:i/>
          <w:iCs/>
        </w:rPr>
        <w:t xml:space="preserve">The treatment of Convention rights   </w:t>
      </w:r>
    </w:p>
    <w:p w14:paraId="00F79AFF" w14:textId="4CB590A4" w:rsidR="00DB4AAA" w:rsidRDefault="00544F6C" w:rsidP="002F2079">
      <w:pPr>
        <w:pStyle w:val="Carlo"/>
      </w:pPr>
      <w:r>
        <w:t xml:space="preserve">Section 6 of the Policy is entitled “Proportionality” and deals with Convention rights.  The section acknowledges that LFR affects the Convention rights of members of the public, including rights protected by </w:t>
      </w:r>
      <w:r w:rsidR="00E94360">
        <w:t>A</w:t>
      </w:r>
      <w:r>
        <w:t xml:space="preserve">rticles 8, 10, 11 and 14 of the Convention. </w:t>
      </w:r>
      <w:r w:rsidR="007F211E">
        <w:t xml:space="preserve">Section 6 </w:t>
      </w:r>
      <w:r w:rsidR="001225D8">
        <w:t xml:space="preserve">provides </w:t>
      </w:r>
      <w:r w:rsidR="006805D2">
        <w:t xml:space="preserve">practical </w:t>
      </w:r>
      <w:r w:rsidR="001225D8">
        <w:t xml:space="preserve">guidance </w:t>
      </w:r>
      <w:r w:rsidR="006805D2">
        <w:t>to police officers on the application of C</w:t>
      </w:r>
      <w:r w:rsidR="00025F3E">
        <w:t>onvention rights and proportionality principles to the types of circumstance that they are likely to encounter in the deployment of LFR.</w:t>
      </w:r>
      <w:r w:rsidR="00244EA5">
        <w:t xml:space="preserve"> Mr Squires confirmed that no criticism is ma</w:t>
      </w:r>
      <w:r w:rsidR="004E0C94">
        <w:t xml:space="preserve">de </w:t>
      </w:r>
      <w:r w:rsidR="00A614ED">
        <w:t>about</w:t>
      </w:r>
      <w:r w:rsidR="00244EA5">
        <w:t xml:space="preserve"> the content of </w:t>
      </w:r>
      <w:r w:rsidR="00B75B0B">
        <w:t xml:space="preserve">section </w:t>
      </w:r>
      <w:r w:rsidR="00244EA5">
        <w:t>6.</w:t>
      </w:r>
    </w:p>
    <w:p w14:paraId="1226696B" w14:textId="6AE7D61F" w:rsidR="00544F6C" w:rsidRDefault="00544F6C" w:rsidP="002F2079">
      <w:pPr>
        <w:pStyle w:val="Carlo"/>
      </w:pPr>
      <w:r>
        <w:t xml:space="preserve">It is mandatory for those who authorise LFR deployments to consider whether any </w:t>
      </w:r>
      <w:proofErr w:type="gramStart"/>
      <w:r>
        <w:t>particular deployment</w:t>
      </w:r>
      <w:proofErr w:type="gramEnd"/>
      <w:r>
        <w:t xml:space="preserve"> would be a “proportionate means of achieving the MPS’ policing objectives” (</w:t>
      </w:r>
      <w:r w:rsidR="00755FCC">
        <w:t>para.</w:t>
      </w:r>
      <w:r>
        <w:t>6.1).  If the proposed deployment is not considered proportionate, it is mandatory for authorisation to be refused</w:t>
      </w:r>
      <w:r w:rsidR="00592105">
        <w:t xml:space="preserve"> (</w:t>
      </w:r>
      <w:r w:rsidR="00755FCC">
        <w:t>para.</w:t>
      </w:r>
      <w:r w:rsidR="00592105">
        <w:t>6.2)</w:t>
      </w:r>
      <w:r>
        <w:t xml:space="preserve">.  </w:t>
      </w:r>
    </w:p>
    <w:p w14:paraId="3363B5BF" w14:textId="0CB6BCD3" w:rsidR="006D1617" w:rsidRDefault="00270F7B" w:rsidP="002F2079">
      <w:pPr>
        <w:pStyle w:val="ParaLevel1"/>
      </w:pPr>
      <w:r>
        <w:t>Any interference with</w:t>
      </w:r>
      <w:r w:rsidR="009C425D">
        <w:t xml:space="preserve"> </w:t>
      </w:r>
      <w:r w:rsidR="00D06B77">
        <w:t>Convention</w:t>
      </w:r>
      <w:r>
        <w:t xml:space="preserve"> rights is the “starting point” for the consideration of whether LFR may be deployed (para.6.4):</w:t>
      </w:r>
    </w:p>
    <w:p w14:paraId="622C3470" w14:textId="24FB3675" w:rsidR="005A2C03" w:rsidRDefault="00063377" w:rsidP="002F2079">
      <w:pPr>
        <w:pStyle w:val="Quote"/>
      </w:pPr>
      <w:r>
        <w:t>“</w:t>
      </w:r>
      <w:r w:rsidR="005A2C03">
        <w:t xml:space="preserve">The starting point for AOs is to consider any interference with the rights and freedoms of members of the public that would be created by the proposed Deployment. In particular: </w:t>
      </w:r>
    </w:p>
    <w:p w14:paraId="68A2E0B5" w14:textId="2F7F806C" w:rsidR="005A2C03" w:rsidRDefault="00A614ED" w:rsidP="002F2079">
      <w:pPr>
        <w:pStyle w:val="Quote"/>
      </w:pPr>
      <w:r>
        <w:rPr>
          <w:b/>
          <w:bCs/>
        </w:rPr>
        <w:t xml:space="preserve">(a) </w:t>
      </w:r>
      <w:r w:rsidR="005A2C03" w:rsidRPr="007B14B5">
        <w:rPr>
          <w:b/>
          <w:bCs/>
        </w:rPr>
        <w:t>Article 8 E</w:t>
      </w:r>
      <w:r w:rsidR="00A10A9A">
        <w:rPr>
          <w:b/>
          <w:bCs/>
        </w:rPr>
        <w:t>CHR</w:t>
      </w:r>
      <w:r w:rsidR="005A2C03" w:rsidRPr="007B14B5">
        <w:rPr>
          <w:b/>
          <w:bCs/>
        </w:rPr>
        <w:t xml:space="preserve"> (right to a private and family life)</w:t>
      </w:r>
      <w:r w:rsidR="005A2C03">
        <w:t xml:space="preserve"> will be relevant in all cases, but to varying degrees. AOs should proceed on the basis that Article 8 is always engaged when (</w:t>
      </w:r>
      <w:proofErr w:type="spellStart"/>
      <w:r w:rsidR="005A2C03">
        <w:t>i</w:t>
      </w:r>
      <w:proofErr w:type="spellEnd"/>
      <w:r w:rsidR="005A2C03">
        <w:t xml:space="preserve">) someone passes an LFR system, (ii) someone is placed on a LFR Watchlist </w:t>
      </w:r>
      <w:r w:rsidR="005A2C03">
        <w:lastRenderedPageBreak/>
        <w:t xml:space="preserve">for a Deployment, and (iii) where someone is Engaged </w:t>
      </w:r>
      <w:proofErr w:type="gramStart"/>
      <w:r w:rsidR="005A2C03">
        <w:t>as a result of</w:t>
      </w:r>
      <w:proofErr w:type="gramEnd"/>
      <w:r w:rsidR="005A2C03">
        <w:t xml:space="preserve"> their being subject to an Alert. Article 8 may be engaged with greater intensity if the proposed Deployment is to an area in which members of the public have greater expectations of privacy, for example close to a clinic or a school. The circumstances at the Deployment location may also affect the intensity with which these privacy rights are engaged. For example, a sporting facility may attract a greater expectation of privacy when it is being used as a private members’ club than if it is used to host a major ticketed sporting event. </w:t>
      </w:r>
    </w:p>
    <w:p w14:paraId="0476BB32" w14:textId="4060FBD6" w:rsidR="00B66038" w:rsidRDefault="005A2C03" w:rsidP="002F2079">
      <w:pPr>
        <w:pStyle w:val="Quote"/>
      </w:pPr>
      <w:r>
        <w:t xml:space="preserve"> </w:t>
      </w:r>
      <w:r w:rsidR="00A614ED">
        <w:t xml:space="preserve">(b) </w:t>
      </w:r>
      <w:r w:rsidRPr="007B14B5">
        <w:rPr>
          <w:b/>
          <w:bCs/>
        </w:rPr>
        <w:t>Article 9 E</w:t>
      </w:r>
      <w:r w:rsidR="00325FBB">
        <w:rPr>
          <w:b/>
          <w:bCs/>
        </w:rPr>
        <w:t xml:space="preserve">CHR </w:t>
      </w:r>
      <w:r w:rsidRPr="007B14B5">
        <w:rPr>
          <w:b/>
          <w:bCs/>
        </w:rPr>
        <w:t>(freedom of thought, belief and religion)</w:t>
      </w:r>
      <w:r>
        <w:t xml:space="preserve"> will be relevant in some cases. For instance, if LFR is deployed outside a place of worship, this may have a</w:t>
      </w:r>
      <w:r w:rsidR="00B66038" w:rsidRPr="00B66038">
        <w:t xml:space="preserve"> </w:t>
      </w:r>
      <w:r w:rsidR="00B66038">
        <w:t xml:space="preserve">chilling effect on the willingness of individuals to attend at that place for the purposes of manifesting their religious beliefs (e.g. by praying there). </w:t>
      </w:r>
    </w:p>
    <w:p w14:paraId="6504F698" w14:textId="45D20B8E" w:rsidR="00B66038" w:rsidRDefault="00B66038" w:rsidP="002F2079">
      <w:pPr>
        <w:pStyle w:val="Quote"/>
      </w:pPr>
      <w:r>
        <w:t xml:space="preserve"> </w:t>
      </w:r>
      <w:r w:rsidR="00A614ED">
        <w:t xml:space="preserve">(c) </w:t>
      </w:r>
      <w:r w:rsidRPr="00A42003">
        <w:rPr>
          <w:b/>
          <w:bCs/>
        </w:rPr>
        <w:t xml:space="preserve">Article 10/11 </w:t>
      </w:r>
      <w:r w:rsidR="00325FBB">
        <w:rPr>
          <w:b/>
          <w:bCs/>
        </w:rPr>
        <w:t>ECHR</w:t>
      </w:r>
      <w:r w:rsidRPr="00A42003">
        <w:rPr>
          <w:b/>
          <w:bCs/>
        </w:rPr>
        <w:t xml:space="preserve"> (freedom of expression and freedom of assembly</w:t>
      </w:r>
      <w:r>
        <w:t>) will be relevant in some cases, for example, (</w:t>
      </w:r>
      <w:proofErr w:type="spellStart"/>
      <w:r>
        <w:t>i</w:t>
      </w:r>
      <w:proofErr w:type="spellEnd"/>
      <w:r>
        <w:t xml:space="preserve">) where LFR is deployed in the policing of protests, demonstrations or other types of assembly, or (ii) where a particular deployment may otherwise affect persons engaged in protests, demonstrations or other types of assembly (e.g. because a demonstration is scheduled to pass through an LFR crime hotspot). AOs should have regard to the risk that deployment will have a chilling effect on the willingness of some individuals to take part in a lawful assembly and express their views. </w:t>
      </w:r>
    </w:p>
    <w:p w14:paraId="165B6B4A" w14:textId="6F0AF3F2" w:rsidR="00B66038" w:rsidRPr="00B66038" w:rsidRDefault="00A614ED" w:rsidP="002F2079">
      <w:pPr>
        <w:pStyle w:val="Quote"/>
      </w:pPr>
      <w:r>
        <w:t xml:space="preserve">(d) </w:t>
      </w:r>
      <w:r w:rsidR="00B66038" w:rsidRPr="00A42003">
        <w:rPr>
          <w:b/>
          <w:bCs/>
        </w:rPr>
        <w:t xml:space="preserve">Article 14 </w:t>
      </w:r>
      <w:r w:rsidR="00325FBB">
        <w:rPr>
          <w:b/>
          <w:bCs/>
        </w:rPr>
        <w:t xml:space="preserve">ECHR </w:t>
      </w:r>
      <w:r w:rsidR="00B66038" w:rsidRPr="00A42003">
        <w:rPr>
          <w:b/>
          <w:bCs/>
        </w:rPr>
        <w:t>(freedom from discrimination)</w:t>
      </w:r>
      <w:r w:rsidR="00B66038">
        <w:t xml:space="preserve"> protects people from discrimination in the enjoyment of one or more other human rights, even where those other human rights have not been breached. AOs should consider whether the circumstances of the proposed Deployment are likely to have a particular impact on one group in society, or example because of characteristics relating to their sex, race, colour, language, religion, political or other opinion, national or social origin, association with a national minority, property, or birth.”</w:t>
      </w:r>
    </w:p>
    <w:p w14:paraId="04DC7990" w14:textId="54C7003A" w:rsidR="00BC1C0B" w:rsidRDefault="00341052" w:rsidP="002F2079">
      <w:pPr>
        <w:pStyle w:val="Carlo"/>
      </w:pPr>
      <w:r>
        <w:t>Paragraph 6.5 continues:</w:t>
      </w:r>
    </w:p>
    <w:p w14:paraId="57208A72" w14:textId="68A0328A" w:rsidR="00726517" w:rsidRDefault="00684A53" w:rsidP="002F2079">
      <w:pPr>
        <w:pStyle w:val="Quote"/>
      </w:pPr>
      <w:r>
        <w:t>“</w:t>
      </w:r>
      <w:r w:rsidR="004E67B0" w:rsidRPr="004E67B0">
        <w:t xml:space="preserve">The </w:t>
      </w:r>
      <w:proofErr w:type="gramStart"/>
      <w:r w:rsidR="004E67B0" w:rsidRPr="004E67B0">
        <w:t>particular circumstances</w:t>
      </w:r>
      <w:proofErr w:type="gramEnd"/>
      <w:r w:rsidR="004E67B0" w:rsidRPr="004E67B0">
        <w:t xml:space="preserve"> of Deployments and how LFR may integrate into wider policing </w:t>
      </w:r>
      <w:r w:rsidR="00726517">
        <w:t xml:space="preserve">tactics will vary, but considering the following characteristics of a Deployment will help AOs to assess whether a particular LFR deployment will adversely affect the rights and freedoms of the public:  </w:t>
      </w:r>
    </w:p>
    <w:p w14:paraId="4F4B4955" w14:textId="0FE534E1" w:rsidR="00726517" w:rsidRDefault="005235F8" w:rsidP="002F2079">
      <w:pPr>
        <w:pStyle w:val="Quote"/>
      </w:pPr>
      <w:r>
        <w:t>(a)</w:t>
      </w:r>
      <w:r w:rsidR="00726517">
        <w:t xml:space="preserve"> the reasonable expectations of privacy that members of the public present at that location can be taken to have: </w:t>
      </w:r>
    </w:p>
    <w:p w14:paraId="5380BBC0" w14:textId="303DBC77" w:rsidR="00726517" w:rsidRDefault="00726517" w:rsidP="002F2079">
      <w:pPr>
        <w:pStyle w:val="Quote"/>
        <w:ind w:left="1701"/>
      </w:pPr>
      <w:r>
        <w:t>(</w:t>
      </w:r>
      <w:proofErr w:type="spellStart"/>
      <w:r>
        <w:t>i</w:t>
      </w:r>
      <w:proofErr w:type="spellEnd"/>
      <w:r>
        <w:t xml:space="preserve">) some places by their nature attract greater privacy expectations than others with. For example, the expectations </w:t>
      </w:r>
      <w:r>
        <w:lastRenderedPageBreak/>
        <w:t xml:space="preserve">of privacy at a busy Zone 1 </w:t>
      </w:r>
      <w:r w:rsidR="0013012B">
        <w:t>c</w:t>
      </w:r>
      <w:r>
        <w:t xml:space="preserve">entral London thoroughfare will typically be lower than in a quiet suburban park or backstreet. Some locations should be treated as inherently sensitive because of what attendance at that location potentially reveals about the individual. Such locations will include, for example: hospitals, GP surgeries and clinics; places of worship; legal advice centres; polling stations; schools (and other places particularly frequented by children);16 care homes and locations providing access to elected </w:t>
      </w:r>
      <w:proofErr w:type="gramStart"/>
      <w:r>
        <w:t>representatives;</w:t>
      </w:r>
      <w:proofErr w:type="gramEnd"/>
      <w:r>
        <w:t xml:space="preserve">  </w:t>
      </w:r>
    </w:p>
    <w:p w14:paraId="44715A60" w14:textId="6AEC1AF7" w:rsidR="00726517" w:rsidRDefault="00726517" w:rsidP="002F2079">
      <w:pPr>
        <w:pStyle w:val="Quote"/>
        <w:ind w:left="1701"/>
      </w:pPr>
      <w:r>
        <w:t xml:space="preserve">(ii) some places will attract greater privacy expectations at certain specific times:  see the sporting facility example at paragraph 6.4(a) above; and </w:t>
      </w:r>
    </w:p>
    <w:p w14:paraId="1F3444E9" w14:textId="77777777" w:rsidR="00EA5125" w:rsidRDefault="00726517" w:rsidP="002F2079">
      <w:pPr>
        <w:pStyle w:val="Quote"/>
        <w:ind w:left="1701"/>
      </w:pPr>
      <w:r>
        <w:t>(iii) the number of cameras and coverage they provide should also be considered in this context to ensure the size and scale of the Deployment</w:t>
      </w:r>
      <w:r w:rsidR="005235F8" w:rsidRPr="005235F8">
        <w:t xml:space="preserve"> </w:t>
      </w:r>
      <w:r w:rsidR="005235F8">
        <w:t xml:space="preserve">enables those on a Watchlist to be effectively located without disproportionately processing the data of members of the </w:t>
      </w:r>
      <w:proofErr w:type="gramStart"/>
      <w:r w:rsidR="005235F8">
        <w:t>public;</w:t>
      </w:r>
      <w:proofErr w:type="gramEnd"/>
      <w:r w:rsidR="005235F8">
        <w:t xml:space="preserve">  </w:t>
      </w:r>
    </w:p>
    <w:p w14:paraId="6520087E" w14:textId="77777777" w:rsidR="00A42003" w:rsidRDefault="00EA5125" w:rsidP="002F2079">
      <w:pPr>
        <w:pStyle w:val="Quote"/>
      </w:pPr>
      <w:r>
        <w:t xml:space="preserve">(b) </w:t>
      </w:r>
      <w:r w:rsidR="005235F8">
        <w:t xml:space="preserve">whether a proposed Deployment may have a chilling effect on the willingness of individuals to exercise their fundamental rights:  </w:t>
      </w:r>
    </w:p>
    <w:p w14:paraId="23B490AB" w14:textId="1F748775" w:rsidR="00341052" w:rsidRDefault="00A42003" w:rsidP="002F2079">
      <w:pPr>
        <w:pStyle w:val="Quote"/>
        <w:ind w:left="1701"/>
      </w:pPr>
      <w:r>
        <w:t>(</w:t>
      </w:r>
      <w:proofErr w:type="spellStart"/>
      <w:r>
        <w:t>i</w:t>
      </w:r>
      <w:proofErr w:type="spellEnd"/>
      <w:r>
        <w:t xml:space="preserve">) </w:t>
      </w:r>
      <w:r w:rsidR="005235F8">
        <w:t>use of LFR in some contexts may deter individuals from exercising their fundamental rights. For example, using LFR at a protest may deter individuals from exercising their fundamental rights of free association and free expression, while using LFR outside a place of worship may deter individuals attending that place.</w:t>
      </w:r>
      <w:r w:rsidR="004526D6">
        <w:t>”</w:t>
      </w:r>
    </w:p>
    <w:p w14:paraId="3248E002" w14:textId="77777777" w:rsidR="00EC1127" w:rsidRDefault="00095262" w:rsidP="00EC1127">
      <w:pPr>
        <w:pStyle w:val="Carlo"/>
        <w:tabs>
          <w:tab w:val="num" w:pos="862"/>
        </w:tabs>
      </w:pPr>
      <w:r>
        <w:t xml:space="preserve">The Policy requires decision-makers to consider proportionality in three stages </w:t>
      </w:r>
      <w:r w:rsidR="00D06B77">
        <w:t xml:space="preserve">which we summarise. </w:t>
      </w:r>
      <w:r>
        <w:t xml:space="preserve">Under Stage 1, the Authorising Officer must be satisfied that the deployment would be likely to achieve one or more relevant policing objectives, based on crime data and/or MPS intelligence and/or operational experience showing why the proposed deployment falls within one of the Use Cases (para 6.7).  Stage 2 requires consideration of whether there are alternative means of achieving the relevant policing objective that would </w:t>
      </w:r>
      <w:proofErr w:type="gramStart"/>
      <w:r>
        <w:t>have  a</w:t>
      </w:r>
      <w:proofErr w:type="gramEnd"/>
      <w:r>
        <w:t xml:space="preserve"> lesser adverse impact on Convention rights (para 6.8).  If the relevant policing objective could be achieved by less intrusive methods, the deployment “should not be authorised as it will not constitute a proportionate means of achieving the MPS’ legitimate aims” (para 6.9). </w:t>
      </w:r>
    </w:p>
    <w:p w14:paraId="14978197" w14:textId="7FCE8ECA" w:rsidR="00095262" w:rsidRDefault="00095262" w:rsidP="00EC1127">
      <w:pPr>
        <w:pStyle w:val="Carlo"/>
        <w:tabs>
          <w:tab w:val="num" w:pos="862"/>
        </w:tabs>
      </w:pPr>
      <w:r>
        <w:t xml:space="preserve">Stage 3 requires the overall consideration of whether the deployment strikes a “fair balance between any interference with the rights and freedoms of those affected by the Deployment and the achievement of relevant policing objectives” (para 6.10).  The balancing exercise “requires consideration of all the circumstances” including (1) the degree to which the deployment will enable policing objectives to be achieved; (2) the degree to which the deployment supports fundamental rights by providing reassurance to those exercising their rights that they can do so safely; (3) the effectiveness of LFR as opposed to other alternatives; and (4) the degree to which LFR would interfere with fundamental rights (para 6.10).  The Policy makes clear that, in any </w:t>
      </w:r>
      <w:proofErr w:type="gramStart"/>
      <w:r>
        <w:t>particular case</w:t>
      </w:r>
      <w:proofErr w:type="gramEnd"/>
      <w:r>
        <w:t xml:space="preserve">, the </w:t>
      </w:r>
      <w:r>
        <w:lastRenderedPageBreak/>
        <w:t xml:space="preserve">more serious the interference and the greater the number of people whose rights are affected, the less likely that LFR would be proportionate (para 6.10(d)).   </w:t>
      </w:r>
    </w:p>
    <w:p w14:paraId="6F30A413" w14:textId="77777777" w:rsidR="00095262" w:rsidRPr="00095262" w:rsidRDefault="00095262" w:rsidP="002F2079">
      <w:pPr>
        <w:pStyle w:val="ParaLevel1"/>
        <w:numPr>
          <w:ilvl w:val="0"/>
          <w:numId w:val="0"/>
        </w:numPr>
        <w:ind w:left="720" w:hanging="720"/>
        <w:rPr>
          <w:i/>
          <w:iCs/>
        </w:rPr>
      </w:pPr>
      <w:r w:rsidRPr="00095262">
        <w:rPr>
          <w:i/>
          <w:iCs/>
        </w:rPr>
        <w:t>Other sections of the Policy</w:t>
      </w:r>
    </w:p>
    <w:p w14:paraId="46825839" w14:textId="0188FB90" w:rsidR="00DA3132" w:rsidRDefault="00544F6C" w:rsidP="002F2079">
      <w:pPr>
        <w:pStyle w:val="Carlo"/>
      </w:pPr>
      <w:r>
        <w:t>Section 7 of the Policy deals with the specific roles and duties of the police officers who carry out LFR deployments</w:t>
      </w:r>
      <w:r w:rsidR="004543F1">
        <w:t xml:space="preserve">: </w:t>
      </w:r>
      <w:r w:rsidR="00785E61">
        <w:t>LFR Operators, LFR System Engineers, LFR</w:t>
      </w:r>
      <w:r w:rsidR="00F62430">
        <w:t xml:space="preserve"> Engagement Officers and </w:t>
      </w:r>
      <w:r w:rsidR="00937349">
        <w:t>LFR</w:t>
      </w:r>
      <w:r w:rsidR="003B3BAC">
        <w:t xml:space="preserve"> command roles </w:t>
      </w:r>
      <w:r w:rsidR="00A27F4C">
        <w:t xml:space="preserve">(paras </w:t>
      </w:r>
      <w:r w:rsidR="00B1231C">
        <w:t>7.1-7.4)</w:t>
      </w:r>
      <w:r>
        <w:t>.</w:t>
      </w:r>
      <w:r w:rsidR="007353B0">
        <w:t xml:space="preserve"> </w:t>
      </w:r>
      <w:r w:rsidR="004C7F15">
        <w:t xml:space="preserve">The Policy lays down requirements for the training of those Operators, Engineers and Officers and their responsibilities in relation to deployment of LFR Para. </w:t>
      </w:r>
      <w:r w:rsidR="009A1D57">
        <w:t>7.2)</w:t>
      </w:r>
      <w:r w:rsidR="007353B0">
        <w:t xml:space="preserve"> </w:t>
      </w:r>
    </w:p>
    <w:p w14:paraId="2E17CA41" w14:textId="677A8993" w:rsidR="00B1231C" w:rsidRDefault="005D0724" w:rsidP="002F2079">
      <w:pPr>
        <w:pStyle w:val="Carlo"/>
      </w:pPr>
      <w:r>
        <w:t xml:space="preserve">A Gold Commander </w:t>
      </w:r>
      <w:r w:rsidR="002F264B">
        <w:t xml:space="preserve">has strategic command of the </w:t>
      </w:r>
      <w:proofErr w:type="gramStart"/>
      <w:r w:rsidR="002F264B">
        <w:t>particular LFR</w:t>
      </w:r>
      <w:proofErr w:type="gramEnd"/>
      <w:r w:rsidR="002F264B">
        <w:t xml:space="preserve"> deployment and must ensure both that the deployment is carried out in accordance with the objectives given in the LFR </w:t>
      </w:r>
      <w:r w:rsidR="005D015D">
        <w:t>Form 1 and that the use of LFR remains necessary and proportionate (</w:t>
      </w:r>
      <w:r w:rsidR="00755FCC">
        <w:t>para.</w:t>
      </w:r>
      <w:r w:rsidR="005D015D">
        <w:t>7.4</w:t>
      </w:r>
      <w:r w:rsidR="005848C6">
        <w:t xml:space="preserve">(a) – (b)).  </w:t>
      </w:r>
      <w:r w:rsidR="004046F9">
        <w:t xml:space="preserve">A Silver Commander has </w:t>
      </w:r>
      <w:r w:rsidR="005930C0">
        <w:t xml:space="preserve">frontline tactical command and must </w:t>
      </w:r>
      <w:r w:rsidR="00A84635">
        <w:t>ensure that the deployment stays within the assessments that supported it (</w:t>
      </w:r>
      <w:r w:rsidR="00755FCC">
        <w:t>para.</w:t>
      </w:r>
      <w:r w:rsidR="00682E1A">
        <w:t xml:space="preserve">7.4(d)). </w:t>
      </w:r>
      <w:r w:rsidR="00FB7B15">
        <w:t xml:space="preserve">  One or more Bronze Commanders are assigned </w:t>
      </w:r>
      <w:r w:rsidR="008D26BE">
        <w:t>operational command responsibilities (</w:t>
      </w:r>
      <w:r w:rsidR="00755FCC">
        <w:t>para.</w:t>
      </w:r>
      <w:r w:rsidR="008D26BE">
        <w:t>7.4(e)).</w:t>
      </w:r>
      <w:r w:rsidR="00A85AF9">
        <w:t xml:space="preserve">  A Bronze BCU Supervisor will </w:t>
      </w:r>
      <w:r w:rsidR="00284D89">
        <w:t>oversee and manage community relations having regard (among other things) to the Community Impact Assessment (</w:t>
      </w:r>
      <w:r w:rsidR="00755FCC">
        <w:t>para.</w:t>
      </w:r>
      <w:r w:rsidR="00284D89">
        <w:t>7.4(e)).</w:t>
      </w:r>
      <w:r w:rsidR="00D93F64">
        <w:t xml:space="preserve"> This clear chain of command is a far cry from the whim, caprice, malice or predilection of an individual officer.  </w:t>
      </w:r>
      <w:r w:rsidR="00284D89">
        <w:t xml:space="preserve">  </w:t>
      </w:r>
      <w:r w:rsidR="005930C0">
        <w:t xml:space="preserve"> </w:t>
      </w:r>
      <w:r w:rsidR="00544F6C">
        <w:t xml:space="preserve"> </w:t>
      </w:r>
    </w:p>
    <w:p w14:paraId="7D9C987E" w14:textId="0F4029B6" w:rsidR="00544F6C" w:rsidRDefault="00983019" w:rsidP="002F2079">
      <w:pPr>
        <w:pStyle w:val="Carlo"/>
      </w:pPr>
      <w:r>
        <w:t>Section 7 of the Policy</w:t>
      </w:r>
      <w:r w:rsidR="00B1231C">
        <w:t xml:space="preserve"> </w:t>
      </w:r>
      <w:r w:rsidR="00544F6C">
        <w:t>makes plain that the generation of an alert should not lead automatically to someone being stopped by the police or to a person’s arrest:</w:t>
      </w:r>
    </w:p>
    <w:p w14:paraId="7B930EE2" w14:textId="0B86534A" w:rsidR="00544F6C" w:rsidRDefault="00544F6C" w:rsidP="002F2079">
      <w:pPr>
        <w:pStyle w:val="Quote"/>
      </w:pPr>
      <w:r>
        <w:t>“</w:t>
      </w:r>
      <w:r w:rsidR="00983019">
        <w:t>7.6</w:t>
      </w:r>
      <w:r>
        <w:t xml:space="preserve">… Following the generation of an Alert, LFR Engagement Officers will undertake an Adjudication. In making their decisions, LFR Engagement Officers must give due regard to the likelihood of Subject, System, or Environmental Factors influencing the generation of an Alert. </w:t>
      </w:r>
      <w:r w:rsidRPr="004E1A8F">
        <w:rPr>
          <w:i/>
          <w:iCs/>
        </w:rPr>
        <w:t>It must not be an automatic consequence that an Alert results in an Engagement</w:t>
      </w:r>
      <w:r>
        <w:t xml:space="preserve">. Subject to the Adjudication process and an assessment of risk (for example if the person </w:t>
      </w:r>
      <w:proofErr w:type="gramStart"/>
      <w:r>
        <w:t>is considered to be</w:t>
      </w:r>
      <w:proofErr w:type="gramEnd"/>
      <w:r>
        <w:t xml:space="preserve"> carrying a weapon), the general expectation is that LFR Engagement Officers will engage with the Alerted person, albeit the nature of the Engagement will depend on all the circumstances, as further outlined in paragraph 7.8…</w:t>
      </w:r>
    </w:p>
    <w:p w14:paraId="53AEF0B5" w14:textId="77777777" w:rsidR="00544F6C" w:rsidRDefault="00544F6C" w:rsidP="002F2079">
      <w:pPr>
        <w:pStyle w:val="Quote"/>
      </w:pPr>
      <w:r>
        <w:t>…</w:t>
      </w:r>
    </w:p>
    <w:p w14:paraId="79552C4A" w14:textId="77777777" w:rsidR="00544F6C" w:rsidRDefault="00544F6C" w:rsidP="002F2079">
      <w:pPr>
        <w:pStyle w:val="Quote"/>
      </w:pPr>
      <w:r>
        <w:t xml:space="preserve">7.8… Whilst officers must exercise their own discretion when using their powers of arrest and detention, MPS policy is that </w:t>
      </w:r>
      <w:r w:rsidRPr="004E1A8F">
        <w:rPr>
          <w:i/>
          <w:iCs/>
        </w:rPr>
        <w:t>an LFR system-generated Alert on its own, indicating that a person is on the Watchlist, should not be taken as providing sufficient grounds by itself for arrest, search or detention</w:t>
      </w:r>
      <w:r>
        <w:t xml:space="preserve">. Officers should seek to make sufficient additional enquiries to satisfy themselves of their grounds to arrest, search or detain. Where confronted with a non-compliant subject, and the circumstances are such that an officer has an honestly held belief they must use their powers of arrest/detention before further checks have been possible, and this results in the use of those powers, then further </w:t>
      </w:r>
      <w:r>
        <w:lastRenderedPageBreak/>
        <w:t xml:space="preserve">checks (as necessary) should be made as soon as is reasonably practicable, so that the decision to arrest/detain is reviewed without unnecessary delay” (emphasis added). </w:t>
      </w:r>
    </w:p>
    <w:p w14:paraId="0D25E1C7" w14:textId="392D7081" w:rsidR="008D33C9" w:rsidRDefault="00544F6C" w:rsidP="002F2079">
      <w:pPr>
        <w:pStyle w:val="Carlo"/>
      </w:pPr>
      <w:r>
        <w:t>Section 8 deals with standards of governance and oversight in relation to the use of LFR technology.</w:t>
      </w:r>
      <w:r w:rsidR="005A2658">
        <w:t xml:space="preserve"> We</w:t>
      </w:r>
      <w:r w:rsidR="00D10638">
        <w:t xml:space="preserve"> </w:t>
      </w:r>
      <w:r w:rsidR="005A2658">
        <w:t xml:space="preserve">note that </w:t>
      </w:r>
      <w:r w:rsidR="001747FB">
        <w:t xml:space="preserve">it contains significant safeguards </w:t>
      </w:r>
      <w:r w:rsidR="00C13C25">
        <w:t xml:space="preserve">against the arbitrary deployment of LFR.  </w:t>
      </w:r>
      <w:proofErr w:type="gramStart"/>
      <w:r w:rsidR="00CB5F3B">
        <w:t>In order to</w:t>
      </w:r>
      <w:proofErr w:type="gramEnd"/>
      <w:r w:rsidR="00CB5F3B">
        <w:t xml:space="preserve"> seek authorisation for LFR, an o</w:t>
      </w:r>
      <w:r w:rsidR="00026658">
        <w:t xml:space="preserve">fficer must apply in writing </w:t>
      </w:r>
      <w:r w:rsidR="00CB5F3B">
        <w:t>to the Authorising Officer using</w:t>
      </w:r>
      <w:r w:rsidR="00026658">
        <w:t xml:space="preserve"> the </w:t>
      </w:r>
      <w:r w:rsidR="00F14F57">
        <w:t xml:space="preserve">LFR Form 1 </w:t>
      </w:r>
      <w:r w:rsidR="006B085B">
        <w:t>(</w:t>
      </w:r>
      <w:r w:rsidR="00755FCC">
        <w:t>para.</w:t>
      </w:r>
      <w:r w:rsidR="006B085B">
        <w:t>8.2(a))</w:t>
      </w:r>
      <w:r w:rsidR="004730AD">
        <w:t xml:space="preserve">. </w:t>
      </w:r>
      <w:r w:rsidR="00C45E22">
        <w:t xml:space="preserve"> Specified </w:t>
      </w:r>
      <w:r w:rsidR="006B085B">
        <w:t>assessments must be provided</w:t>
      </w:r>
      <w:r w:rsidR="008F3116">
        <w:t xml:space="preserve"> including </w:t>
      </w:r>
      <w:r w:rsidR="000F2EFE">
        <w:t>a Community Impact Assessment, an Equality Assessment</w:t>
      </w:r>
      <w:r w:rsidR="008F3116">
        <w:t xml:space="preserve"> and </w:t>
      </w:r>
      <w:r w:rsidR="00DE770B">
        <w:t>a Data Protection Impact Assessment</w:t>
      </w:r>
      <w:r w:rsidR="008F3116">
        <w:t xml:space="preserve"> (</w:t>
      </w:r>
      <w:r w:rsidR="00755FCC">
        <w:t>para.</w:t>
      </w:r>
      <w:r w:rsidR="00CB3F14">
        <w:t xml:space="preserve">8.2(g)).  </w:t>
      </w:r>
    </w:p>
    <w:p w14:paraId="096151C9" w14:textId="57709F00" w:rsidR="00D93F64" w:rsidRDefault="008D33C9" w:rsidP="002F2079">
      <w:pPr>
        <w:pStyle w:val="Carlo"/>
      </w:pPr>
      <w:r>
        <w:t xml:space="preserve">During the deployment, logs must be completed to record the </w:t>
      </w:r>
      <w:r w:rsidR="00942D31">
        <w:t>“planning and execution of the Deployment” (</w:t>
      </w:r>
      <w:r w:rsidR="00755FCC">
        <w:t>para.</w:t>
      </w:r>
      <w:r w:rsidR="00942D31">
        <w:t xml:space="preserve">8.3(a)).  </w:t>
      </w:r>
      <w:r w:rsidR="00B8526F">
        <w:t xml:space="preserve">The </w:t>
      </w:r>
      <w:r w:rsidR="001A0753">
        <w:t xml:space="preserve">Silver Commander must </w:t>
      </w:r>
      <w:r w:rsidR="00434179">
        <w:t xml:space="preserve">ensure that </w:t>
      </w:r>
      <w:r w:rsidR="00755870">
        <w:t xml:space="preserve">the deployment remains </w:t>
      </w:r>
      <w:r w:rsidR="000F115B">
        <w:t>“necessary and proportionate</w:t>
      </w:r>
      <w:r w:rsidR="004A53C9">
        <w:t xml:space="preserve"> for the policing purpose identified” (</w:t>
      </w:r>
      <w:r w:rsidR="00755FCC">
        <w:t>para.</w:t>
      </w:r>
      <w:r w:rsidR="004A53C9">
        <w:t>8.3(b))</w:t>
      </w:r>
      <w:r w:rsidR="00FE2C04">
        <w:t xml:space="preserve"> with “absolute </w:t>
      </w:r>
      <w:r w:rsidR="0096308B">
        <w:t>discretion</w:t>
      </w:r>
      <w:r w:rsidR="00F40466">
        <w:t xml:space="preserve">” </w:t>
      </w:r>
      <w:r w:rsidR="002F6A3F">
        <w:t xml:space="preserve">vested in </w:t>
      </w:r>
      <w:r w:rsidR="001A0753">
        <w:t>him or her</w:t>
      </w:r>
      <w:r w:rsidR="002F6A3F">
        <w:t xml:space="preserve"> </w:t>
      </w:r>
      <w:r w:rsidR="006F308F">
        <w:t>“</w:t>
      </w:r>
      <w:r w:rsidR="0096308B">
        <w:t>to suspend or terminate the Deployment” (</w:t>
      </w:r>
      <w:r w:rsidR="00755FCC">
        <w:t>para.</w:t>
      </w:r>
      <w:r w:rsidR="001A21AE">
        <w:t>8.3(c)).</w:t>
      </w:r>
      <w:r w:rsidR="00A17430">
        <w:t xml:space="preserve">  </w:t>
      </w:r>
    </w:p>
    <w:p w14:paraId="4350240F" w14:textId="3E870E28" w:rsidR="002C21D5" w:rsidRDefault="00A17430" w:rsidP="002F2079">
      <w:pPr>
        <w:pStyle w:val="Carlo"/>
      </w:pPr>
      <w:r>
        <w:t xml:space="preserve">Internal oversight of LFR </w:t>
      </w:r>
      <w:proofErr w:type="gramStart"/>
      <w:r>
        <w:t>as a whole is</w:t>
      </w:r>
      <w:proofErr w:type="gramEnd"/>
      <w:r>
        <w:t xml:space="preserve"> provided by a Technology Board </w:t>
      </w:r>
      <w:r w:rsidR="00D53A25">
        <w:t>which is answerable to the MPS Management Board (</w:t>
      </w:r>
      <w:r w:rsidR="00755FCC">
        <w:t>para.</w:t>
      </w:r>
      <w:r w:rsidR="00AA04BD">
        <w:t>8.6(a)).</w:t>
      </w:r>
      <w:r w:rsidR="004572D1">
        <w:t xml:space="preserve">  </w:t>
      </w:r>
    </w:p>
    <w:p w14:paraId="106AE34C" w14:textId="6ACA9571" w:rsidR="002C21D5" w:rsidRDefault="00544F6C" w:rsidP="002F2079">
      <w:pPr>
        <w:pStyle w:val="Carlo"/>
      </w:pPr>
      <w:r>
        <w:t xml:space="preserve">Section 9 deals with data processing and data security issues. </w:t>
      </w:r>
      <w:r w:rsidR="00561C07">
        <w:t xml:space="preserve">  It was not suggested by the claimants or the Commission that </w:t>
      </w:r>
      <w:r w:rsidR="00FD60FD">
        <w:t xml:space="preserve">the terms of the Policy do not meet </w:t>
      </w:r>
      <w:r w:rsidR="005C0FE6">
        <w:t xml:space="preserve">the requirements of data protection laws.  </w:t>
      </w:r>
    </w:p>
    <w:p w14:paraId="5AFBA29F" w14:textId="44EA8CC8" w:rsidR="00DC3D0A" w:rsidRDefault="00544F6C" w:rsidP="002F2079">
      <w:pPr>
        <w:pStyle w:val="Carlo"/>
      </w:pPr>
      <w:r>
        <w:t>Section 10 deals with publicity and information about LFR use.</w:t>
      </w:r>
      <w:r w:rsidR="00AD338C">
        <w:t xml:space="preserve">  </w:t>
      </w:r>
      <w:r w:rsidR="00DC3D0A">
        <w:t>It suffices for present purposes to quote the following passage</w:t>
      </w:r>
      <w:r w:rsidR="003221AB">
        <w:t>,</w:t>
      </w:r>
      <w:r w:rsidR="00D04C84">
        <w:t xml:space="preserve"> which deals </w:t>
      </w:r>
      <w:r w:rsidR="003221AB">
        <w:t xml:space="preserve">with how </w:t>
      </w:r>
      <w:r w:rsidR="00D04C84">
        <w:t xml:space="preserve">members of the public </w:t>
      </w:r>
      <w:r w:rsidR="003221AB">
        <w:t xml:space="preserve">– including the </w:t>
      </w:r>
      <w:r w:rsidR="004269B3">
        <w:t>c</w:t>
      </w:r>
      <w:r w:rsidR="003221AB">
        <w:t xml:space="preserve">laimants – </w:t>
      </w:r>
      <w:r w:rsidR="00D04C84">
        <w:t xml:space="preserve">may </w:t>
      </w:r>
      <w:r w:rsidR="00783E95">
        <w:t>learn about where LFR will be or is being deployed</w:t>
      </w:r>
      <w:r w:rsidR="00DC3D0A">
        <w:t>:</w:t>
      </w:r>
    </w:p>
    <w:p w14:paraId="3AF5C8B3" w14:textId="73BF540D" w:rsidR="00DC3D0A" w:rsidRDefault="00DC3D0A" w:rsidP="002F2079">
      <w:pPr>
        <w:pStyle w:val="Quote"/>
      </w:pPr>
      <w:r>
        <w:t xml:space="preserve">“10.1 Policy and documentation </w:t>
      </w:r>
    </w:p>
    <w:p w14:paraId="54BBAF11" w14:textId="45782619" w:rsidR="00DC3D0A" w:rsidRDefault="00DC3D0A" w:rsidP="002F2079">
      <w:pPr>
        <w:pStyle w:val="Quote"/>
      </w:pPr>
      <w:r>
        <w:t xml:space="preserve"> (a) The MPS makes this policy, the associated impact assessments and wider information available to the public on its website.  </w:t>
      </w:r>
    </w:p>
    <w:p w14:paraId="3F3811AB" w14:textId="7DB53FB3" w:rsidR="00DC3D0A" w:rsidRPr="00DC3D0A" w:rsidRDefault="000E372C" w:rsidP="002F2079">
      <w:pPr>
        <w:pStyle w:val="Quote"/>
        <w:rPr>
          <w:b/>
          <w:bCs/>
        </w:rPr>
      </w:pPr>
      <w:r w:rsidRPr="000E372C">
        <w:t>10.2</w:t>
      </w:r>
      <w:r>
        <w:rPr>
          <w:b/>
          <w:bCs/>
        </w:rPr>
        <w:t xml:space="preserve"> </w:t>
      </w:r>
      <w:r w:rsidR="00DC3D0A" w:rsidRPr="00DC3D0A">
        <w:rPr>
          <w:b/>
          <w:bCs/>
        </w:rPr>
        <w:t xml:space="preserve">Pre-Deployment </w:t>
      </w:r>
    </w:p>
    <w:p w14:paraId="61FEC8BA" w14:textId="1BB48C42" w:rsidR="00DC3D0A" w:rsidRDefault="00DC3D0A" w:rsidP="002F2079">
      <w:pPr>
        <w:pStyle w:val="Quote"/>
      </w:pPr>
      <w:r>
        <w:t xml:space="preserve"> (a) The public should be notified of LFR Deployments in advance using the MPS website and other appropriate communication channels (for example social media). In exceptional circumstances it may not be possible to give prior notice of the use of LFR (</w:t>
      </w:r>
      <w:proofErr w:type="spellStart"/>
      <w:r>
        <w:t>i</w:t>
      </w:r>
      <w:proofErr w:type="spellEnd"/>
      <w:r>
        <w:t xml:space="preserve">) in cases of Urgency, (ii) in relation to uses concerning specific intelligence where the source of that intelligence or the operational objectives for the use of LFR risk being compromised.  </w:t>
      </w:r>
    </w:p>
    <w:p w14:paraId="066781DB" w14:textId="51D38F80" w:rsidR="00DC3D0A" w:rsidRPr="00DC3D0A" w:rsidRDefault="000E372C" w:rsidP="002F2079">
      <w:pPr>
        <w:pStyle w:val="Quote"/>
        <w:rPr>
          <w:b/>
          <w:bCs/>
        </w:rPr>
      </w:pPr>
      <w:r w:rsidRPr="000E372C">
        <w:t>10.3</w:t>
      </w:r>
      <w:r>
        <w:rPr>
          <w:b/>
          <w:bCs/>
        </w:rPr>
        <w:t xml:space="preserve"> </w:t>
      </w:r>
      <w:r w:rsidR="00DC3D0A" w:rsidRPr="00DC3D0A">
        <w:rPr>
          <w:b/>
          <w:bCs/>
        </w:rPr>
        <w:t xml:space="preserve">During a Deployment </w:t>
      </w:r>
    </w:p>
    <w:p w14:paraId="03EAD274" w14:textId="28F84087" w:rsidR="00DC3D0A" w:rsidRDefault="00DC3D0A" w:rsidP="002F2079">
      <w:pPr>
        <w:pStyle w:val="Quote"/>
      </w:pPr>
      <w:r>
        <w:t xml:space="preserve">Measures must be taken during the Deployment to ensure the use of LFR is overt such that members of the public in the vicinity of the </w:t>
      </w:r>
      <w:proofErr w:type="gramStart"/>
      <w:r>
        <w:t>particular LFR</w:t>
      </w:r>
      <w:proofErr w:type="gramEnd"/>
      <w:r>
        <w:t xml:space="preserve"> Deployment </w:t>
      </w:r>
      <w:proofErr w:type="gramStart"/>
      <w:r>
        <w:t>are in a position to</w:t>
      </w:r>
      <w:proofErr w:type="gramEnd"/>
      <w:r>
        <w:t xml:space="preserve"> recognise and understand that LFR is being used and to seek information </w:t>
      </w:r>
    </w:p>
    <w:p w14:paraId="61443220" w14:textId="3C136793" w:rsidR="00AD338C" w:rsidRDefault="00DC3D0A" w:rsidP="002F2079">
      <w:pPr>
        <w:pStyle w:val="Quote"/>
      </w:pPr>
      <w:r>
        <w:lastRenderedPageBreak/>
        <w:t>about the operation of LFR from officers. Such measures will include: (</w:t>
      </w:r>
      <w:proofErr w:type="spellStart"/>
      <w:r>
        <w:t>i</w:t>
      </w:r>
      <w:proofErr w:type="spellEnd"/>
      <w:r>
        <w:t>) police officers able to answer public questions, (ii) MPS-liveried vehicle(s)/hoardings with signage on them confirming the use of LFR and (iii) signage or an equivalent measure (e.g. some locations may use alternatives such as PA announcements) outside of the Zone of Recognition.”</w:t>
      </w:r>
    </w:p>
    <w:p w14:paraId="5390F93C" w14:textId="03B13294" w:rsidR="00544F6C" w:rsidRDefault="00544F6C" w:rsidP="002F2079">
      <w:pPr>
        <w:pStyle w:val="Carlo"/>
      </w:pPr>
      <w:r>
        <w:t xml:space="preserve">A series of annexes </w:t>
      </w:r>
      <w:r w:rsidR="00272323">
        <w:t xml:space="preserve">to the Policy </w:t>
      </w:r>
      <w:r>
        <w:t xml:space="preserve">provides further guidance on various topics, including the use of LFR where it affects children, the disabled and those undertaking gender reassignment where </w:t>
      </w:r>
      <w:proofErr w:type="gramStart"/>
      <w:r>
        <w:t>particular privacy</w:t>
      </w:r>
      <w:proofErr w:type="gramEnd"/>
      <w:r>
        <w:t xml:space="preserve"> considerations are raised (Annex D).    </w:t>
      </w:r>
    </w:p>
    <w:p w14:paraId="7BB6516E" w14:textId="22A2202E" w:rsidR="00544F6C" w:rsidRPr="002B7F45" w:rsidRDefault="00544F6C" w:rsidP="002F2079">
      <w:pPr>
        <w:pStyle w:val="ParaLevel1"/>
        <w:numPr>
          <w:ilvl w:val="0"/>
          <w:numId w:val="0"/>
        </w:numPr>
        <w:rPr>
          <w:b/>
          <w:bCs/>
        </w:rPr>
      </w:pPr>
      <w:r w:rsidRPr="002B7F45">
        <w:rPr>
          <w:b/>
          <w:bCs/>
        </w:rPr>
        <w:t xml:space="preserve">Other </w:t>
      </w:r>
      <w:r w:rsidR="00AE3F24">
        <w:rPr>
          <w:b/>
          <w:bCs/>
        </w:rPr>
        <w:t>P</w:t>
      </w:r>
      <w:r w:rsidRPr="002B7F45">
        <w:rPr>
          <w:b/>
          <w:bCs/>
        </w:rPr>
        <w:t>olicy documents</w:t>
      </w:r>
    </w:p>
    <w:p w14:paraId="1C5ED29D" w14:textId="77777777" w:rsidR="00544F6C" w:rsidRDefault="00544F6C" w:rsidP="002F2079">
      <w:pPr>
        <w:pStyle w:val="Carlo"/>
      </w:pPr>
      <w:r>
        <w:t xml:space="preserve">There are other documents that complement the Policy.  We were provided with a Data Protection Impact Assessment dated 11 September 2024; a Data Protection Appropriate Policy Document; an Overt LFR Legal </w:t>
      </w:r>
      <w:proofErr w:type="gramStart"/>
      <w:r>
        <w:t>Mandate  which</w:t>
      </w:r>
      <w:proofErr w:type="gramEnd"/>
      <w:r>
        <w:t xml:space="preserve"> deals with (among other things) Convention rights and the Equality Act 2010; and an Equality Impact Assessment. </w:t>
      </w:r>
    </w:p>
    <w:p w14:paraId="7CC28901" w14:textId="5BE01AE3" w:rsidR="00544F6C" w:rsidRDefault="00544F6C" w:rsidP="002F2079">
      <w:pPr>
        <w:pStyle w:val="Carlo"/>
      </w:pPr>
      <w:r>
        <w:t xml:space="preserve">We were shown a blank copy of the LFR </w:t>
      </w:r>
      <w:r w:rsidR="0031445E">
        <w:t>F</w:t>
      </w:r>
      <w:r>
        <w:t xml:space="preserve">orm </w:t>
      </w:r>
      <w:r w:rsidR="0031445E">
        <w:t xml:space="preserve">1 </w:t>
      </w:r>
      <w:r>
        <w:t xml:space="preserve">that must be used to obtain authorisation for LFR deployment at a particular location and time. The application form is in two parts.  In the first part, the person making the application is guided through various steps required to ensure compliance with the Policy. In the second part, the Authorising Officer (who will consider the content of the form and decide whether to authorise </w:t>
      </w:r>
      <w:proofErr w:type="gramStart"/>
      <w:r>
        <w:t>the  deployment</w:t>
      </w:r>
      <w:proofErr w:type="gramEnd"/>
      <w:r>
        <w:t xml:space="preserve">) is guided through the relevant considerations including interference with Convention rights and proportionality.  </w:t>
      </w:r>
    </w:p>
    <w:p w14:paraId="4E0EDF80" w14:textId="77777777" w:rsidR="00544F6C" w:rsidRPr="00BA7199" w:rsidRDefault="00544F6C" w:rsidP="002F2079">
      <w:pPr>
        <w:pStyle w:val="ParaLevel1"/>
        <w:numPr>
          <w:ilvl w:val="0"/>
          <w:numId w:val="0"/>
        </w:numPr>
        <w:rPr>
          <w:b/>
          <w:bCs/>
        </w:rPr>
      </w:pPr>
      <w:r>
        <w:rPr>
          <w:b/>
          <w:bCs/>
        </w:rPr>
        <w:t>The accuracy of LFR: risk of false alerts</w:t>
      </w:r>
    </w:p>
    <w:p w14:paraId="2BA12052" w14:textId="77777777" w:rsidR="00544F6C" w:rsidRDefault="00544F6C" w:rsidP="002F2079">
      <w:pPr>
        <w:pStyle w:val="Carlo"/>
      </w:pPr>
      <w:r>
        <w:t xml:space="preserve">The risk of false alerts – matching an innocent person to a Sought Person on a watchlist – is related to the “similarity score” that we have mentioned above.  As we understand the evidence provided by the MPS, the score is a number which has always been 0.6 or more as representing the threshold for a </w:t>
      </w:r>
      <w:proofErr w:type="gramStart"/>
      <w:r>
        <w:t>technically-assured</w:t>
      </w:r>
      <w:proofErr w:type="gramEnd"/>
      <w:r>
        <w:t xml:space="preserve"> and high degree of accuracy.  </w:t>
      </w:r>
    </w:p>
    <w:p w14:paraId="5F61B611" w14:textId="03D24F74" w:rsidR="00544F6C" w:rsidRDefault="00544F6C" w:rsidP="002F2079">
      <w:pPr>
        <w:pStyle w:val="Carlo"/>
      </w:pPr>
      <w:r>
        <w:t>In 2023, the MPS commissioned the National Physical Laboratory (“NPL”) to conduct an equitability study of MPS facial recognition technology.  The NPL evaluation took place</w:t>
      </w:r>
      <w:r w:rsidR="009461D4">
        <w:t xml:space="preserve"> after the event in a test environment using footage taken from real life deployments</w:t>
      </w:r>
      <w:r>
        <w:t xml:space="preserve">.  The NPL </w:t>
      </w:r>
      <w:proofErr w:type="gramStart"/>
      <w:r w:rsidR="00A614ED">
        <w:t>Report</w:t>
      </w:r>
      <w:r>
        <w:t xml:space="preserve">  (</w:t>
      </w:r>
      <w:proofErr w:type="gramEnd"/>
      <w:r>
        <w:t xml:space="preserve">completed in March 2023) records that, in tests that used a 0.6 similarity score, the false positive identification rate was 0.017% for a watchlist size of 10,000 (1 in 6000) and 0.002% (1 in 60,000) for a watchlist size of 1,000.  </w:t>
      </w:r>
    </w:p>
    <w:p w14:paraId="42928091" w14:textId="3F404F5D" w:rsidR="00544F6C" w:rsidRDefault="00544F6C" w:rsidP="002F2079">
      <w:pPr>
        <w:pStyle w:val="Carlo"/>
      </w:pPr>
      <w:r>
        <w:t xml:space="preserve">We were not referred to the text of the </w:t>
      </w:r>
      <w:proofErr w:type="gramStart"/>
      <w:r>
        <w:t>Report</w:t>
      </w:r>
      <w:proofErr w:type="gramEnd"/>
      <w:r>
        <w:t xml:space="preserve"> but </w:t>
      </w:r>
      <w:r w:rsidR="00FC5ABD">
        <w:t>Ms</w:t>
      </w:r>
      <w:r>
        <w:t xml:space="preserve"> Chiswick’s second witness statement describes it as showing that there were no statistically significant differences in true positive identification rates and false positive identification rates by gender or race.  There was no challenge to that description and no evidence to contradict it.  Overall, there was no challenge to the NPL methodology or to its conclusions under test conditions.     </w:t>
      </w:r>
    </w:p>
    <w:p w14:paraId="095B2514" w14:textId="2A189D26" w:rsidR="00544F6C" w:rsidRDefault="00544F6C" w:rsidP="002F2079">
      <w:pPr>
        <w:pStyle w:val="Carlo"/>
      </w:pPr>
      <w:r>
        <w:t xml:space="preserve">Turning from test conditions to real life operations, the similarity score has not remained static.  From January 2020 until June 2024, the number was 0.6.  From 11 </w:t>
      </w:r>
      <w:r>
        <w:lastRenderedPageBreak/>
        <w:t xml:space="preserve">July 2024 to 23 July 2024, it was 0.62.   Since 25 July 2024, the similarity score has been 0.64.  The higher the </w:t>
      </w:r>
      <w:r w:rsidR="00F62AC2">
        <w:t>threshold number</w:t>
      </w:r>
      <w:r w:rsidR="006E2224">
        <w:t xml:space="preserve"> is</w:t>
      </w:r>
      <w:r w:rsidR="00F91EBC">
        <w:t xml:space="preserve"> set</w:t>
      </w:r>
      <w:r>
        <w:t xml:space="preserve">, the lower the risk of generating a false alert.  </w:t>
      </w:r>
    </w:p>
    <w:p w14:paraId="08AA210C" w14:textId="39E520FC" w:rsidR="00544F6C" w:rsidRDefault="00544F6C" w:rsidP="002F2079">
      <w:pPr>
        <w:pStyle w:val="Carlo"/>
      </w:pPr>
      <w:r>
        <w:t xml:space="preserve">According to a helpful Note from Mr Hogarth drafted at our request, </w:t>
      </w:r>
      <w:r w:rsidR="009461D4">
        <w:t xml:space="preserve">summarising the relevant pleadings and evidence, </w:t>
      </w:r>
      <w:r>
        <w:t xml:space="preserve">in the period 1 January to 10 September 2024, there was one false alert for every 33,435 faces that came within a Zone of Recognition and 2.1% of total alerts were false alerts.  From 11 September 2024 (when the Policy came into effect) to 31 December 2024, there were 453 alerts generated of which none was a false alert.  From 1 January 2025 to 10 October 2025, there were 12 false alerts of which four led to no engagement at all between the MPS and the subject of the false alert.           </w:t>
      </w:r>
    </w:p>
    <w:p w14:paraId="01C2865B" w14:textId="77777777" w:rsidR="00544F6C" w:rsidRDefault="00544F6C" w:rsidP="002F2079">
      <w:pPr>
        <w:pStyle w:val="ParaLevel1"/>
        <w:numPr>
          <w:ilvl w:val="0"/>
          <w:numId w:val="0"/>
        </w:numPr>
        <w:rPr>
          <w:b/>
          <w:bCs/>
        </w:rPr>
      </w:pPr>
      <w:r>
        <w:rPr>
          <w:b/>
          <w:bCs/>
        </w:rPr>
        <w:t>Evidence relating to the claimants</w:t>
      </w:r>
    </w:p>
    <w:p w14:paraId="1EA8FEFE" w14:textId="77777777" w:rsidR="00544F6C" w:rsidRPr="00843782" w:rsidRDefault="00544F6C" w:rsidP="002F2079">
      <w:pPr>
        <w:pStyle w:val="ParaLevel1"/>
        <w:numPr>
          <w:ilvl w:val="0"/>
          <w:numId w:val="0"/>
        </w:numPr>
        <w:rPr>
          <w:i/>
          <w:iCs/>
        </w:rPr>
      </w:pPr>
      <w:r w:rsidRPr="00843782">
        <w:rPr>
          <w:i/>
          <w:iCs/>
        </w:rPr>
        <w:t>Mr Thompson</w:t>
      </w:r>
    </w:p>
    <w:p w14:paraId="544B1703" w14:textId="262F2DBA" w:rsidR="00544F6C" w:rsidRDefault="00544F6C" w:rsidP="002F2079">
      <w:pPr>
        <w:pStyle w:val="Carlo"/>
      </w:pPr>
      <w:r>
        <w:t xml:space="preserve">As we have indicated, </w:t>
      </w:r>
      <w:r w:rsidR="00D86F30">
        <w:t>Mr</w:t>
      </w:r>
      <w:r>
        <w:t xml:space="preserve"> Thompson is a voluntary worker for an organisation called Street Fathers that aims to prevent children and young people from </w:t>
      </w:r>
      <w:proofErr w:type="gramStart"/>
      <w:r>
        <w:t>coming into contact with</w:t>
      </w:r>
      <w:proofErr w:type="gramEnd"/>
      <w:r>
        <w:t xml:space="preserve"> the criminal justice system.  In his witness statement, he explains that, as part of his work, he participates in “patrols” of the streets of London.  The patrols aim to disincentivise young people from becoming involved in gang-related or dangerous activities.    </w:t>
      </w:r>
    </w:p>
    <w:p w14:paraId="5FBEBC88" w14:textId="330C0449" w:rsidR="00544F6C" w:rsidRDefault="00544F6C" w:rsidP="002F2079">
      <w:pPr>
        <w:pStyle w:val="Carlo"/>
      </w:pPr>
      <w:r>
        <w:t xml:space="preserve">It is not in dispute that, on 23 February 2024, </w:t>
      </w:r>
      <w:r w:rsidR="00D86F30">
        <w:t>Mr</w:t>
      </w:r>
      <w:r>
        <w:t xml:space="preserve"> Thompson passed an LFR deployment in the area around London Bridge.  His face was matched to an image contained on the watchlist in use on that day, </w:t>
      </w:r>
      <w:proofErr w:type="gramStart"/>
      <w:r>
        <w:t>so as to</w:t>
      </w:r>
      <w:proofErr w:type="gramEnd"/>
      <w:r>
        <w:t xml:space="preserve"> generate an alert.  The LFR system had detected a high level of facial similarity between images obtained of </w:t>
      </w:r>
      <w:r w:rsidR="00D86F30">
        <w:t>Mr</w:t>
      </w:r>
      <w:r>
        <w:t xml:space="preserve"> Thompson and the image of his brother who was on the watchlist as being the subject of an outstanding arrest warrant issued by a court for breach of bail following an allegation that he had caused grievous bodily harm to </w:t>
      </w:r>
      <w:r w:rsidR="00D86F30">
        <w:t>Mr</w:t>
      </w:r>
      <w:r>
        <w:t xml:space="preserve"> Thompson.  The high level of similarity generated the alert.     </w:t>
      </w:r>
    </w:p>
    <w:p w14:paraId="3353A392" w14:textId="146693F5" w:rsidR="00544F6C" w:rsidRDefault="00544F6C" w:rsidP="002F2079">
      <w:pPr>
        <w:pStyle w:val="Carlo"/>
      </w:pPr>
      <w:r>
        <w:t xml:space="preserve">Police officers spoke to </w:t>
      </w:r>
      <w:r w:rsidR="00D86F30">
        <w:t>Mr</w:t>
      </w:r>
      <w:r>
        <w:t xml:space="preserve"> Thompson.  They ceased their engagement with him after considering information held on the Police National Computer about his brother.  </w:t>
      </w:r>
      <w:r w:rsidR="00D86F30">
        <w:t>Mr</w:t>
      </w:r>
      <w:r>
        <w:t xml:space="preserve"> Thompson was able to show police a copy of his passport photograph on his phone, which enabled his identity to be confirmed.</w:t>
      </w:r>
    </w:p>
    <w:p w14:paraId="2AB6DCAD" w14:textId="6B4E5A84" w:rsidR="00544F6C" w:rsidRDefault="00544F6C" w:rsidP="002F2079">
      <w:pPr>
        <w:pStyle w:val="Carlo"/>
      </w:pPr>
      <w:r>
        <w:t xml:space="preserve">In his witness statement, </w:t>
      </w:r>
      <w:r w:rsidR="00D86F30">
        <w:t>Mr</w:t>
      </w:r>
      <w:r>
        <w:t xml:space="preserve"> Thompson says that, </w:t>
      </w:r>
      <w:proofErr w:type="gramStart"/>
      <w:r>
        <w:t>as a result of</w:t>
      </w:r>
      <w:proofErr w:type="gramEnd"/>
      <w:r>
        <w:t xml:space="preserve"> being mistakenly identified, he regards LFR as depending on “flawed technology.”  He is concerned that “the police will be able to scaremonger” innocent people “into giving over their personal data, which will then be held on a police database with no justification.”  </w:t>
      </w:r>
    </w:p>
    <w:p w14:paraId="1939CD8D" w14:textId="77777777" w:rsidR="00721E46" w:rsidRDefault="00D86F30" w:rsidP="002F2079">
      <w:pPr>
        <w:pStyle w:val="Carlo"/>
      </w:pPr>
      <w:r>
        <w:t>Mr</w:t>
      </w:r>
      <w:r w:rsidR="00544F6C">
        <w:t xml:space="preserve"> Thompson is concerned that LFR cameras are often deployed in places with larger Black communities which will result in disproportionate and intrusive targeting of Black people.  He </w:t>
      </w:r>
      <w:proofErr w:type="gramStart"/>
      <w:r w:rsidR="00544F6C">
        <w:t>is scared of</w:t>
      </w:r>
      <w:proofErr w:type="gramEnd"/>
      <w:r w:rsidR="00544F6C">
        <w:t xml:space="preserve"> being wrongly identified by LFR again.</w:t>
      </w:r>
      <w:r w:rsidR="00BD4F65">
        <w:t xml:space="preserve"> </w:t>
      </w:r>
    </w:p>
    <w:p w14:paraId="443C9B02" w14:textId="343DD355" w:rsidR="00544F6C" w:rsidRDefault="00721E46" w:rsidP="002F2079">
      <w:pPr>
        <w:pStyle w:val="Carlo"/>
      </w:pPr>
      <w:r>
        <w:t>We should record, however, that the claimants do not raise any issues in relation to the Public Sector Equality Duty under s.149 of the Equality Act 2010.</w:t>
      </w:r>
    </w:p>
    <w:p w14:paraId="4850DAF0" w14:textId="77777777" w:rsidR="00EC1127" w:rsidRDefault="00EC1127" w:rsidP="002F2079">
      <w:pPr>
        <w:pStyle w:val="ParaLevel1"/>
        <w:numPr>
          <w:ilvl w:val="0"/>
          <w:numId w:val="0"/>
        </w:numPr>
        <w:rPr>
          <w:i/>
          <w:iCs/>
        </w:rPr>
      </w:pPr>
    </w:p>
    <w:p w14:paraId="59933155" w14:textId="77777777" w:rsidR="00EC1127" w:rsidRDefault="00EC1127" w:rsidP="002F2079">
      <w:pPr>
        <w:pStyle w:val="ParaLevel1"/>
        <w:numPr>
          <w:ilvl w:val="0"/>
          <w:numId w:val="0"/>
        </w:numPr>
        <w:rPr>
          <w:i/>
          <w:iCs/>
        </w:rPr>
      </w:pPr>
    </w:p>
    <w:p w14:paraId="64138479" w14:textId="60EC0546" w:rsidR="00544F6C" w:rsidRPr="00BF251B" w:rsidRDefault="00544F6C" w:rsidP="002F2079">
      <w:pPr>
        <w:pStyle w:val="ParaLevel1"/>
        <w:numPr>
          <w:ilvl w:val="0"/>
          <w:numId w:val="0"/>
        </w:numPr>
        <w:rPr>
          <w:i/>
          <w:iCs/>
        </w:rPr>
      </w:pPr>
      <w:r w:rsidRPr="00BF251B">
        <w:rPr>
          <w:i/>
          <w:iCs/>
        </w:rPr>
        <w:lastRenderedPageBreak/>
        <w:t>Ms Carlo</w:t>
      </w:r>
    </w:p>
    <w:p w14:paraId="5BCE139C" w14:textId="10E2AAE4" w:rsidR="00544F6C" w:rsidRDefault="00544F6C" w:rsidP="002F2079">
      <w:pPr>
        <w:pStyle w:val="Carlo"/>
      </w:pPr>
      <w:r>
        <w:t xml:space="preserve">As we have said </w:t>
      </w:r>
      <w:r w:rsidR="00FC5ABD">
        <w:t>Ms</w:t>
      </w:r>
      <w:r>
        <w:t xml:space="preserve"> Carlo is the Director of Big Brother Watch, an NGO that campaigns on privacy issues.  Prior to joining Big Brother Watch in 2018, she led policy work on surveillance and technology at Liberty, the human rights NGO.  Among other roles, she serves on the Advisory Board of the World Ethical Data Forum and is a member of the Government’s One Login Inclusion and Privacy Advisory Group.  </w:t>
      </w:r>
    </w:p>
    <w:p w14:paraId="0BD338F8" w14:textId="62C29A88" w:rsidR="00544F6C" w:rsidRDefault="00FC5ABD" w:rsidP="002F2079">
      <w:pPr>
        <w:pStyle w:val="Carlo"/>
      </w:pPr>
      <w:r>
        <w:t>Ms</w:t>
      </w:r>
      <w:r w:rsidR="00544F6C">
        <w:t xml:space="preserve"> Carlo lives in South London and works near Westminster, travelling round London for work engagements.  She says that LFR has been used in many of the areas that she visits for work, social events and shopping, such as Westminster, Oxford Circus and Clapham Junction. </w:t>
      </w:r>
    </w:p>
    <w:p w14:paraId="64D4F2A5" w14:textId="4E052E56" w:rsidR="00EF50ED" w:rsidRDefault="00FC5ABD" w:rsidP="002F2079">
      <w:pPr>
        <w:pStyle w:val="Carlo"/>
      </w:pPr>
      <w:r>
        <w:t>Ms</w:t>
      </w:r>
      <w:r w:rsidR="00544F6C">
        <w:t xml:space="preserve"> Carlo has provided five witness statements over the course of the proceedings.  In her first witness statement, she says that she is “recognised as an expert on the impact of LFR on rights and liberties.”  We have no reason to doubt that she has accumulated a great deal of knowledge about the practical operation of LFR in London.  However, </w:t>
      </w:r>
      <w:r w:rsidR="00D86F30">
        <w:t>Mr</w:t>
      </w:r>
      <w:r w:rsidR="00781602">
        <w:t xml:space="preserve"> Squires</w:t>
      </w:r>
      <w:r w:rsidR="00C175C8">
        <w:t xml:space="preserve"> did not advance her evidence as expert opinion evidence and </w:t>
      </w:r>
      <w:r w:rsidR="00C33F90">
        <w:t xml:space="preserve">her statements do not demonstrate that she </w:t>
      </w:r>
      <w:r w:rsidR="00623527">
        <w:t xml:space="preserve">has assumed any of the duties owed by </w:t>
      </w:r>
      <w:r w:rsidR="00EF50ED">
        <w:t xml:space="preserve">an </w:t>
      </w:r>
      <w:r w:rsidR="00623527">
        <w:t>expert witness to the court</w:t>
      </w:r>
      <w:r w:rsidR="00C175C8">
        <w:t>.</w:t>
      </w:r>
      <w:r w:rsidR="005C0B6A">
        <w:t xml:space="preserve">  For example, </w:t>
      </w:r>
      <w:r w:rsidR="00715CF0">
        <w:t xml:space="preserve">it is a general requirement </w:t>
      </w:r>
      <w:r w:rsidR="002C5D25">
        <w:t>of expert evidence that e</w:t>
      </w:r>
      <w:r w:rsidR="00715CF0" w:rsidRPr="00715CF0">
        <w:t>xperts should assist the court by providing objective, unbiased opinions on matters within their expertise, and should not assume the role of an advocate</w:t>
      </w:r>
      <w:r w:rsidR="002C5D25">
        <w:t xml:space="preserve"> (CPR PD 35</w:t>
      </w:r>
      <w:r w:rsidR="00EA2351">
        <w:t xml:space="preserve"> </w:t>
      </w:r>
      <w:r w:rsidR="00755FCC">
        <w:t>para.</w:t>
      </w:r>
      <w:r w:rsidR="00EA2351">
        <w:t xml:space="preserve">2,2)  </w:t>
      </w:r>
      <w:r w:rsidR="000C3BB9">
        <w:t xml:space="preserve">By contrast, </w:t>
      </w:r>
      <w:r>
        <w:t>Ms</w:t>
      </w:r>
      <w:r w:rsidR="00EA2351">
        <w:t xml:space="preserve"> </w:t>
      </w:r>
      <w:r w:rsidR="00A17AD6">
        <w:t xml:space="preserve">Carlo </w:t>
      </w:r>
      <w:r w:rsidR="00EA2351">
        <w:t>plainly adopts the role of an advocate against the Policy under challenge</w:t>
      </w:r>
      <w:r w:rsidR="00EF50ED">
        <w:t xml:space="preserve">. </w:t>
      </w:r>
    </w:p>
    <w:p w14:paraId="413D27C8" w14:textId="1A337009" w:rsidR="00544F6C" w:rsidRDefault="005A0888" w:rsidP="002F2079">
      <w:pPr>
        <w:pStyle w:val="Carlo"/>
      </w:pPr>
      <w:r>
        <w:t xml:space="preserve">As </w:t>
      </w:r>
      <w:r w:rsidR="00FC5ABD">
        <w:t>Ms</w:t>
      </w:r>
      <w:r w:rsidR="00EF50ED">
        <w:t xml:space="preserve"> Ca</w:t>
      </w:r>
      <w:r w:rsidR="000C3BB9">
        <w:t xml:space="preserve">rlo </w:t>
      </w:r>
      <w:r w:rsidR="00ED4DE0">
        <w:t xml:space="preserve">cannot be treated as an expert witness, </w:t>
      </w:r>
      <w:r w:rsidR="007538DC">
        <w:t xml:space="preserve">there is no </w:t>
      </w:r>
      <w:proofErr w:type="gramStart"/>
      <w:r w:rsidR="007538DC">
        <w:t xml:space="preserve">basis </w:t>
      </w:r>
      <w:r w:rsidR="00ED4DE0">
        <w:t xml:space="preserve"> for</w:t>
      </w:r>
      <w:proofErr w:type="gramEnd"/>
      <w:r w:rsidR="00ED4DE0">
        <w:t xml:space="preserve"> </w:t>
      </w:r>
      <w:r w:rsidR="000C3BB9">
        <w:t xml:space="preserve">the court to </w:t>
      </w:r>
      <w:r w:rsidR="00B43FF7">
        <w:t>consider her e</w:t>
      </w:r>
      <w:r w:rsidR="00ED4DE0">
        <w:t>vidence on matters o</w:t>
      </w:r>
      <w:r w:rsidR="00D27D93">
        <w:t>f</w:t>
      </w:r>
      <w:r w:rsidR="00ED4DE0">
        <w:t xml:space="preserve"> opinion </w:t>
      </w:r>
      <w:r w:rsidR="00B43FF7">
        <w:t>as opposed to</w:t>
      </w:r>
      <w:r w:rsidR="00ED4DE0">
        <w:t xml:space="preserve"> matters of fact.  </w:t>
      </w:r>
      <w:r w:rsidR="00544F6C">
        <w:t xml:space="preserve">Numerous passages of her first witness statement – indeed </w:t>
      </w:r>
      <w:proofErr w:type="gramStart"/>
      <w:r w:rsidR="00544F6C">
        <w:t>the majority of</w:t>
      </w:r>
      <w:proofErr w:type="gramEnd"/>
      <w:r w:rsidR="00544F6C">
        <w:t xml:space="preserve"> the statement – contain her opinions on LFR.  Those passages are inadmissible and cannot advance her claim.  </w:t>
      </w:r>
    </w:p>
    <w:p w14:paraId="4EC24AA0" w14:textId="3B6DDB79" w:rsidR="00544F6C" w:rsidRDefault="00544F6C" w:rsidP="002F2079">
      <w:pPr>
        <w:pStyle w:val="Carlo"/>
      </w:pPr>
      <w:r>
        <w:t xml:space="preserve">Turning to the </w:t>
      </w:r>
      <w:r w:rsidR="001E377F">
        <w:t>f</w:t>
      </w:r>
      <w:r>
        <w:t xml:space="preserve">actual evidence contained in the first statement, </w:t>
      </w:r>
      <w:r w:rsidR="00FC5ABD">
        <w:t>Ms</w:t>
      </w:r>
      <w:r>
        <w:t xml:space="preserve"> Carlo says that she has monitored “countless” deployments of LFR in London since 2017.  She witnessed </w:t>
      </w:r>
      <w:r w:rsidR="00D86F30">
        <w:t>Mr</w:t>
      </w:r>
      <w:r>
        <w:t xml:space="preserve"> Thompson’s misidentification at London Bridge.  She expresses concerns about the “chilling effect” of LFR deployment at political protests and demonstrations.  She does not wish to attend protests or other events where LFR is used.  She was active in a republican campaign group which organised a demonstration at the King’s Coronation but decided not to attend the demonstration following the </w:t>
      </w:r>
      <w:r w:rsidR="002B081D">
        <w:t xml:space="preserve">announcement by the </w:t>
      </w:r>
      <w:r>
        <w:t xml:space="preserve">MPS that LFR would be used at the Coronation.  She avoids the Notting Hill Carnival for fear of being captured on LFR cameras.  </w:t>
      </w:r>
    </w:p>
    <w:p w14:paraId="0EB5B225" w14:textId="59A146F5" w:rsidR="00544F6C" w:rsidRDefault="00FC5ABD" w:rsidP="002F2079">
      <w:pPr>
        <w:pStyle w:val="Carlo"/>
      </w:pPr>
      <w:r>
        <w:t>Ms</w:t>
      </w:r>
      <w:r w:rsidR="00544F6C">
        <w:t xml:space="preserve"> Carlo’s second witness statement concerns interim applications considered by the court at an earlier stage of proceedings.  We do not need to deal with it.  </w:t>
      </w:r>
    </w:p>
    <w:p w14:paraId="6B7FFCFF" w14:textId="1B2C0D4F" w:rsidR="00544F6C" w:rsidRDefault="00FC5ABD" w:rsidP="002F2079">
      <w:pPr>
        <w:pStyle w:val="Carlo"/>
      </w:pPr>
      <w:r>
        <w:t>Ms</w:t>
      </w:r>
      <w:r w:rsidR="00544F6C">
        <w:t xml:space="preserve"> Carlo requires, and has applied for, the court’s permission to rely on her third witness statement.  We have considered it </w:t>
      </w:r>
      <w:r w:rsidR="00544F6C" w:rsidRPr="004F2D02">
        <w:rPr>
          <w:i/>
          <w:iCs/>
        </w:rPr>
        <w:t>de bene esse for</w:t>
      </w:r>
      <w:r w:rsidR="00544F6C">
        <w:t xml:space="preserve"> the purpose of deciding whether to admit it.   </w:t>
      </w:r>
    </w:p>
    <w:p w14:paraId="2819AE63" w14:textId="77777777" w:rsidR="00544F6C" w:rsidRDefault="00544F6C" w:rsidP="002F2079">
      <w:pPr>
        <w:pStyle w:val="Carlo"/>
      </w:pPr>
      <w:r>
        <w:t xml:space="preserve">The vast majority of the third statement is commentary and the expression of opinion.  Ms Carlo mentions the connection between crime hotspots and areas of heavy footfall, elements of Professor Utley’s second report, the Government’s definition of CNI, and </w:t>
      </w:r>
      <w:r>
        <w:lastRenderedPageBreak/>
        <w:t xml:space="preserve">what she calls “replication of LFR policies across police forces.”  Her comments and opinions on these topics range far beyond the proper content of a witness statement.  </w:t>
      </w:r>
    </w:p>
    <w:p w14:paraId="7C43C73B" w14:textId="7CA236D1" w:rsidR="00544F6C" w:rsidRDefault="00544F6C" w:rsidP="002F2079">
      <w:pPr>
        <w:pStyle w:val="Carlo"/>
      </w:pPr>
      <w:r>
        <w:t xml:space="preserve">The </w:t>
      </w:r>
      <w:r w:rsidR="00D610DC">
        <w:t>sections containing</w:t>
      </w:r>
      <w:r>
        <w:t xml:space="preserve"> comment </w:t>
      </w:r>
      <w:r w:rsidR="00396DD8">
        <w:t>or</w:t>
      </w:r>
      <w:r>
        <w:t xml:space="preserve"> argument </w:t>
      </w:r>
      <w:r w:rsidR="007A66A7">
        <w:t>permeate</w:t>
      </w:r>
      <w:r>
        <w:t xml:space="preserve"> the third witness statement</w:t>
      </w:r>
      <w:r w:rsidR="007A66A7">
        <w:t>.</w:t>
      </w:r>
      <w:r>
        <w:t xml:space="preserve">  It would be an arid exercise for the court to pick out the several sentences that we would consider to be admissible evidence.  Owing to the scale of inadmissible evidence contained within it, we refuse to admit the third witness statement and so we refuse the claimants’ application to rely on it.   In any event, the content of the third witness statement does not assist the court in determining the specific legal questions that are the subject of the claim.  Even if admissible, we would give the statement no weight. </w:t>
      </w:r>
    </w:p>
    <w:p w14:paraId="4F3F1646" w14:textId="1178437B" w:rsidR="00544F6C" w:rsidRDefault="00FC5ABD" w:rsidP="002F2079">
      <w:pPr>
        <w:pStyle w:val="Carlo"/>
      </w:pPr>
      <w:r>
        <w:t>Ms</w:t>
      </w:r>
      <w:r w:rsidR="00544F6C">
        <w:t xml:space="preserve"> Carlo’s fourth witness statement relates only to interim matters so that we can turn to her fifth witness statement.  Once again, she needs and has applied for permission to rely on her fifth witness statement.  </w:t>
      </w:r>
    </w:p>
    <w:p w14:paraId="42464E60" w14:textId="66F341A9" w:rsidR="00544F6C" w:rsidRDefault="00544F6C" w:rsidP="002F2079">
      <w:pPr>
        <w:pStyle w:val="Carlo"/>
      </w:pPr>
      <w:r>
        <w:t xml:space="preserve">In her fifth statement, </w:t>
      </w:r>
      <w:r w:rsidR="00FC5ABD">
        <w:t>Ms</w:t>
      </w:r>
      <w:r>
        <w:t xml:space="preserve"> Carlo expresses concern that ordinary CCTV cameras in London (which are not presently used for LFR) could in the future be replaced and upgraded to permit LFR deployment.  </w:t>
      </w:r>
      <w:r w:rsidR="003379E4">
        <w:t>As we have said at</w:t>
      </w:r>
      <w:r w:rsidR="0064073E">
        <w:t xml:space="preserve"> </w:t>
      </w:r>
      <w:r w:rsidR="00A7590A">
        <w:t>[6</w:t>
      </w:r>
      <w:r w:rsidR="00315A5F">
        <w:t>8</w:t>
      </w:r>
      <w:r w:rsidR="00A7590A">
        <w:t xml:space="preserve">] </w:t>
      </w:r>
      <w:r w:rsidR="003379E4">
        <w:t>above, t</w:t>
      </w:r>
      <w:r w:rsidR="004266CF">
        <w:t xml:space="preserve">he court will not speculate </w:t>
      </w:r>
      <w:r w:rsidR="0031753A">
        <w:t>about the future. Th</w:t>
      </w:r>
      <w:r>
        <w:t>e concern about future us</w:t>
      </w:r>
      <w:r w:rsidR="00D622E1">
        <w:t>e</w:t>
      </w:r>
      <w:r>
        <w:t xml:space="preserve"> is not relevant to whether the present Policy is in accordance with the law.   </w:t>
      </w:r>
    </w:p>
    <w:p w14:paraId="1E3995A3" w14:textId="1FE36E16" w:rsidR="00544F6C" w:rsidRDefault="00FC5ABD" w:rsidP="002F2079">
      <w:pPr>
        <w:pStyle w:val="Carlo"/>
      </w:pPr>
      <w:r>
        <w:t>Ms</w:t>
      </w:r>
      <w:r w:rsidR="00544F6C">
        <w:t xml:space="preserve"> Carlo goes on to criticise the way in which the Policy is put into practice.  She goes into detail about what she regards as inadequate signage to warn people that they are about to enter a Zone of Recognition and says that social media notifications about forthcoming LFR deployments do not adequately delineate where the LFR cameras will be positioned.</w:t>
      </w:r>
      <w:r w:rsidR="00280945">
        <w:t xml:space="preserve"> These complaints </w:t>
      </w:r>
      <w:r w:rsidR="00474C86">
        <w:t>about</w:t>
      </w:r>
      <w:r w:rsidR="00690280">
        <w:t xml:space="preserve"> </w:t>
      </w:r>
      <w:r w:rsidR="00EB6E4B">
        <w:t>the practical application of the</w:t>
      </w:r>
      <w:r w:rsidR="00280945">
        <w:t xml:space="preserve"> Policy do not assist the court with </w:t>
      </w:r>
      <w:r w:rsidR="00FD73DE">
        <w:t>the IAWL question</w:t>
      </w:r>
      <w:r w:rsidR="00EB6E4B">
        <w:t xml:space="preserve"> that is the subject of the claim</w:t>
      </w:r>
      <w:r w:rsidR="00FD73DE">
        <w:t xml:space="preserve">. </w:t>
      </w:r>
    </w:p>
    <w:p w14:paraId="018C0513" w14:textId="4170C806" w:rsidR="00B75663" w:rsidRDefault="00703F53" w:rsidP="002F2079">
      <w:pPr>
        <w:pStyle w:val="Carlo"/>
      </w:pPr>
      <w:r>
        <w:t>Ms Carlo goes on</w:t>
      </w:r>
      <w:r w:rsidR="001360CC">
        <w:t xml:space="preserve"> </w:t>
      </w:r>
      <w:r>
        <w:t xml:space="preserve">to deal with </w:t>
      </w:r>
      <w:r w:rsidR="00663683">
        <w:t xml:space="preserve">political support for, and opposition to, the use of LFR and the </w:t>
      </w:r>
      <w:r w:rsidR="00B75663">
        <w:t xml:space="preserve">comparative </w:t>
      </w:r>
      <w:r w:rsidR="00663683">
        <w:t>position</w:t>
      </w:r>
      <w:r w:rsidR="00B75663">
        <w:t>s</w:t>
      </w:r>
      <w:r w:rsidR="00663683">
        <w:t xml:space="preserve"> </w:t>
      </w:r>
      <w:r w:rsidR="004D1A99">
        <w:t>in Sweden, Germany and Scotland.</w:t>
      </w:r>
      <w:r w:rsidR="00B75663">
        <w:t xml:space="preserve">  None of this is admissible evidence.</w:t>
      </w:r>
      <w:r w:rsidR="00583417">
        <w:t xml:space="preserve"> </w:t>
      </w:r>
      <w:r w:rsidR="004B21DF">
        <w:t>It is ir</w:t>
      </w:r>
      <w:r w:rsidR="00583417">
        <w:t xml:space="preserve">relevant to the IAWL question. </w:t>
      </w:r>
      <w:r w:rsidR="00B75663">
        <w:t xml:space="preserve">  </w:t>
      </w:r>
    </w:p>
    <w:p w14:paraId="222E631C" w14:textId="74C34070" w:rsidR="00544F6C" w:rsidRDefault="00544F6C" w:rsidP="002F2079">
      <w:pPr>
        <w:pStyle w:val="Carlo"/>
      </w:pPr>
      <w:r>
        <w:t>In a section of her statement on the use of LFR at protests, she says as follows:</w:t>
      </w:r>
    </w:p>
    <w:p w14:paraId="689CFB4B" w14:textId="4A607029" w:rsidR="00544F6C" w:rsidRDefault="00544F6C" w:rsidP="002F2079">
      <w:pPr>
        <w:pStyle w:val="Quote"/>
      </w:pPr>
      <w:r>
        <w:t xml:space="preserve">“16. At paragraph [72] of her second statement, Ms Chiswick dismisses my concerns that campaigners, as in people attending demonstrations, could be subject to positive identity checks </w:t>
      </w:r>
      <w:proofErr w:type="gramStart"/>
      <w:r>
        <w:t>as a result of</w:t>
      </w:r>
      <w:proofErr w:type="gramEnd"/>
      <w:r>
        <w:t xml:space="preserve"> mask-wearing. This concern arises from my own observations of LFR deployments, at which I have witnessed individuals being stopped by the police because their face is covered. I have witnessed this on several occasions on deployments I have attended. I believe the most recent occasion was at an LFR deployment in London Bridge during February 2024. I asked the police officer why he had attempted to stop the passer-by whose face was covered, given that it is a reasonable response to intrusive LFR cameras operating on the street. The officer acknowledged that passers-by were legally entitled to cover their face but described it as </w:t>
      </w:r>
      <w:r w:rsidR="00FD73DE">
        <w:t>‘</w:t>
      </w:r>
      <w:r>
        <w:t>suspicious activity</w:t>
      </w:r>
      <w:r w:rsidR="00FD73DE">
        <w:t>’</w:t>
      </w:r>
      <w:r>
        <w:t xml:space="preserve"> that entitled him to attempt to stop and question the person concerned.</w:t>
      </w:r>
      <w:r w:rsidR="00F800F3">
        <w:t>”</w:t>
      </w:r>
      <w:r>
        <w:t xml:space="preserve"> </w:t>
      </w:r>
    </w:p>
    <w:p w14:paraId="5112E82F" w14:textId="00209A94" w:rsidR="008D0BDC" w:rsidRDefault="00C92339" w:rsidP="002F2079">
      <w:pPr>
        <w:pStyle w:val="ParaLevel1"/>
      </w:pPr>
      <w:r>
        <w:lastRenderedPageBreak/>
        <w:t xml:space="preserve">This passage too relates to </w:t>
      </w:r>
      <w:r w:rsidR="00690280">
        <w:t>the operation of the</w:t>
      </w:r>
      <w:r>
        <w:t xml:space="preserve"> Policy in practice, which is not the subject of the pleaded grounds of challeng</w:t>
      </w:r>
      <w:r w:rsidR="00690280">
        <w:t>e</w:t>
      </w:r>
      <w:r w:rsidR="00FE0304">
        <w:t xml:space="preserve"> for which permission has been granted</w:t>
      </w:r>
      <w:r w:rsidR="00690280">
        <w:t xml:space="preserve">. </w:t>
      </w:r>
      <w:r w:rsidR="00474C86">
        <w:t xml:space="preserve"> </w:t>
      </w:r>
      <w:r w:rsidR="004A7CB3">
        <w:t>Ms Carlo</w:t>
      </w:r>
      <w:r w:rsidR="00474C86">
        <w:t xml:space="preserve"> </w:t>
      </w:r>
      <w:r w:rsidR="00B90EC0">
        <w:t>ends by saying</w:t>
      </w:r>
      <w:r w:rsidR="00474C86">
        <w:t xml:space="preserve">: </w:t>
      </w:r>
      <w:r>
        <w:t xml:space="preserve"> </w:t>
      </w:r>
    </w:p>
    <w:p w14:paraId="543D867D" w14:textId="353D9965" w:rsidR="00544F6C" w:rsidRDefault="00586355" w:rsidP="002F2079">
      <w:pPr>
        <w:pStyle w:val="Quote"/>
      </w:pPr>
      <w:r>
        <w:t>“</w:t>
      </w:r>
      <w:r w:rsidR="00544F6C">
        <w:t>19. I remain concerned about being subject to LFR at protests. I have recently returned to work following a period of maternity leave and plan to attend, and may organise, demonstrations related to the issues Big Brother Watch campaigns on. I am concerned about the prospect of LFR being used at such protests and about the effect that may have on our supporters' willingness to demonstrate if they do not want their biometric data to be processed, given that tens of thousands of them likewise object to the expanse of live facial recognition surveillance by police.”</w:t>
      </w:r>
    </w:p>
    <w:p w14:paraId="575D5DC6" w14:textId="55635B9E" w:rsidR="00544F6C" w:rsidRDefault="00B75683" w:rsidP="002F2079">
      <w:pPr>
        <w:pStyle w:val="Carlo"/>
      </w:pPr>
      <w:r>
        <w:t xml:space="preserve">Overall, Ms Carlo’s fifth witness statement </w:t>
      </w:r>
      <w:r w:rsidR="007C0ACF">
        <w:t>has no</w:t>
      </w:r>
      <w:r w:rsidR="001A1A1A">
        <w:t xml:space="preserve"> real </w:t>
      </w:r>
      <w:r w:rsidR="00BC5519">
        <w:t xml:space="preserve">evidential </w:t>
      </w:r>
      <w:r w:rsidR="00544F6C">
        <w:t>value</w:t>
      </w:r>
      <w:r>
        <w:t xml:space="preserve"> and adds nothing to </w:t>
      </w:r>
      <w:r w:rsidR="00544F6C">
        <w:t>our consideration of the specific legal questions that arise in the claim.</w:t>
      </w:r>
      <w:r w:rsidR="00B9517F">
        <w:t xml:space="preserve">  </w:t>
      </w:r>
      <w:r w:rsidR="007C0ACF">
        <w:t>It is inadmissible</w:t>
      </w:r>
      <w:r>
        <w:t>.</w:t>
      </w:r>
      <w:r w:rsidR="007C0ACF">
        <w:t xml:space="preserve"> </w:t>
      </w:r>
      <w:r w:rsidR="00B9517F">
        <w:t xml:space="preserve">We refuse the claimants’ application </w:t>
      </w:r>
      <w:r w:rsidR="007C0ACF">
        <w:t xml:space="preserve">to admit it. </w:t>
      </w:r>
      <w:r w:rsidR="00544F6C">
        <w:t xml:space="preserve">  </w:t>
      </w:r>
    </w:p>
    <w:p w14:paraId="54DF97A0" w14:textId="23659512" w:rsidR="00B56AF6" w:rsidRDefault="00544F6C" w:rsidP="002F2079">
      <w:pPr>
        <w:pStyle w:val="ParaLevel1"/>
      </w:pPr>
      <w:r>
        <w:t xml:space="preserve">The court’s function in judicial review proceedings is to determine the questions of public law raised in the pleaded claim.  </w:t>
      </w:r>
      <w:r w:rsidR="00A614ED">
        <w:t>E</w:t>
      </w:r>
      <w:r w:rsidR="004D17D1">
        <w:t xml:space="preserve">vidence will not be relevant in judicial review if it does not engage the issues of public law that are contained in </w:t>
      </w:r>
      <w:r w:rsidR="009401D3">
        <w:t>a</w:t>
      </w:r>
      <w:r w:rsidR="004D17D1">
        <w:t xml:space="preserve"> party’s </w:t>
      </w:r>
      <w:r w:rsidR="006E5765">
        <w:t xml:space="preserve">pleaded </w:t>
      </w:r>
      <w:r w:rsidR="004D17D1">
        <w:t xml:space="preserve">case.  </w:t>
      </w:r>
      <w:r w:rsidR="000948FF">
        <w:t>In judicial review, as in other proceedings, a</w:t>
      </w:r>
      <w:r w:rsidR="004D63A1">
        <w:t xml:space="preserve"> party’s lawyers have a duty</w:t>
      </w:r>
      <w:r w:rsidR="00B56B66">
        <w:t xml:space="preserve"> to the court </w:t>
      </w:r>
      <w:r w:rsidR="004D63A1">
        <w:t xml:space="preserve">to consider with care </w:t>
      </w:r>
      <w:r w:rsidR="00310F3F">
        <w:t xml:space="preserve">and objectivity </w:t>
      </w:r>
      <w:r w:rsidR="004D63A1">
        <w:t xml:space="preserve">whether </w:t>
      </w:r>
      <w:r w:rsidR="00225C6E">
        <w:t>the evidence put before the court –</w:t>
      </w:r>
      <w:r w:rsidR="00310F3F">
        <w:t xml:space="preserve"> </w:t>
      </w:r>
      <w:r w:rsidR="00225C6E">
        <w:t xml:space="preserve">from a client or otherwise – </w:t>
      </w:r>
      <w:r w:rsidR="00817808">
        <w:t>is relevant</w:t>
      </w:r>
      <w:r w:rsidR="00B56B66">
        <w:t xml:space="preserve"> and, if not, then to advise that</w:t>
      </w:r>
      <w:r w:rsidR="004D17D1">
        <w:t xml:space="preserve"> it is </w:t>
      </w:r>
      <w:r w:rsidR="00397853">
        <w:t>inadmissible</w:t>
      </w:r>
      <w:r w:rsidR="00310F3F">
        <w:t xml:space="preserve">.  </w:t>
      </w:r>
      <w:r w:rsidR="000E2E92">
        <w:t>A client should then</w:t>
      </w:r>
      <w:r w:rsidR="00C21A3A">
        <w:t xml:space="preserve"> heed that advice.</w:t>
      </w:r>
    </w:p>
    <w:p w14:paraId="744119E2" w14:textId="7AFA0BAA" w:rsidR="005202B9" w:rsidRPr="00B56AF6" w:rsidRDefault="00B56AF6" w:rsidP="002F2079">
      <w:pPr>
        <w:pStyle w:val="ParaLevel1"/>
      </w:pPr>
      <w:r>
        <w:t>If a</w:t>
      </w:r>
      <w:r w:rsidR="00700CB6">
        <w:t xml:space="preserve"> party</w:t>
      </w:r>
      <w:r w:rsidR="004B50B7">
        <w:t xml:space="preserve"> </w:t>
      </w:r>
      <w:r>
        <w:t xml:space="preserve">relies on irrelevant evidence, </w:t>
      </w:r>
      <w:r w:rsidRPr="003202D4">
        <w:t xml:space="preserve">opposing parties </w:t>
      </w:r>
      <w:r>
        <w:t xml:space="preserve">are put to needless </w:t>
      </w:r>
      <w:r w:rsidR="00265E36">
        <w:t xml:space="preserve">time and </w:t>
      </w:r>
      <w:proofErr w:type="gramStart"/>
      <w:r>
        <w:t>expense  in</w:t>
      </w:r>
      <w:proofErr w:type="gramEnd"/>
      <w:r>
        <w:t xml:space="preserve"> </w:t>
      </w:r>
      <w:r w:rsidR="00265E36">
        <w:t xml:space="preserve">checking </w:t>
      </w:r>
      <w:r w:rsidR="00995724">
        <w:t xml:space="preserve">the extent to which it falls </w:t>
      </w:r>
      <w:proofErr w:type="gramStart"/>
      <w:r w:rsidR="00995724">
        <w:t xml:space="preserve">within </w:t>
      </w:r>
      <w:r>
        <w:t xml:space="preserve"> the</w:t>
      </w:r>
      <w:proofErr w:type="gramEnd"/>
      <w:r>
        <w:t xml:space="preserve"> </w:t>
      </w:r>
      <w:r w:rsidR="00995724">
        <w:t xml:space="preserve">case </w:t>
      </w:r>
      <w:r>
        <w:t>pleaded</w:t>
      </w:r>
      <w:r w:rsidR="00995724">
        <w:t>.</w:t>
      </w:r>
      <w:r>
        <w:t xml:space="preserve"> </w:t>
      </w:r>
      <w:r w:rsidR="00B01E40">
        <w:t xml:space="preserve">Even </w:t>
      </w:r>
      <w:r w:rsidR="008B3854">
        <w:t>where</w:t>
      </w:r>
      <w:r>
        <w:t xml:space="preserve"> that material appears to be irrelevant, a party may incur further costs considering whether to respond and, if so, how. Some may feel under tactical pressure to </w:t>
      </w:r>
      <w:r w:rsidR="00F50D8C">
        <w:t>do so</w:t>
      </w:r>
      <w:r>
        <w:t xml:space="preserve"> to avoid a forensic point being made that the material has gone unchallenged. If an opposing party does file evidence, th</w:t>
      </w:r>
      <w:r w:rsidR="00395221">
        <w:t xml:space="preserve">at may </w:t>
      </w:r>
      <w:r w:rsidR="00F50D8C">
        <w:t xml:space="preserve">then </w:t>
      </w:r>
      <w:r w:rsidR="00395221">
        <w:t>provoke a reply</w:t>
      </w:r>
      <w:r>
        <w:t xml:space="preserve"> and so the unnecessary proliferation of such material continues. </w:t>
      </w:r>
      <w:r w:rsidR="00E24E77">
        <w:t>T</w:t>
      </w:r>
      <w:r>
        <w:t xml:space="preserve">his bad practice wastes the court’s finite resources, for example, in pre-reading and in time taken up </w:t>
      </w:r>
      <w:r w:rsidR="00A614ED">
        <w:t>at</w:t>
      </w:r>
      <w:r>
        <w:t xml:space="preserve"> a hearing</w:t>
      </w:r>
      <w:r w:rsidR="0015201C">
        <w:t>.</w:t>
      </w:r>
      <w:r>
        <w:t xml:space="preserve"> </w:t>
      </w:r>
      <w:r w:rsidR="0015201C">
        <w:t xml:space="preserve"> </w:t>
      </w:r>
    </w:p>
    <w:p w14:paraId="32D3076B" w14:textId="41F878DA" w:rsidR="00544F6C" w:rsidRPr="001A7EEE" w:rsidRDefault="00544F6C" w:rsidP="002F2079">
      <w:pPr>
        <w:pStyle w:val="ParaLevel1"/>
        <w:numPr>
          <w:ilvl w:val="0"/>
          <w:numId w:val="0"/>
        </w:numPr>
        <w:rPr>
          <w:b/>
          <w:bCs/>
        </w:rPr>
      </w:pPr>
      <w:r>
        <w:rPr>
          <w:b/>
          <w:bCs/>
        </w:rPr>
        <w:t>The</w:t>
      </w:r>
      <w:r w:rsidRPr="001A7EEE">
        <w:rPr>
          <w:b/>
          <w:bCs/>
        </w:rPr>
        <w:t xml:space="preserve"> </w:t>
      </w:r>
      <w:r w:rsidR="00E809DC">
        <w:rPr>
          <w:b/>
          <w:bCs/>
        </w:rPr>
        <w:t xml:space="preserve">Commission’s </w:t>
      </w:r>
      <w:r>
        <w:rPr>
          <w:b/>
          <w:bCs/>
        </w:rPr>
        <w:t>evidence</w:t>
      </w:r>
    </w:p>
    <w:p w14:paraId="64D073A1" w14:textId="592A2C49" w:rsidR="00544F6C" w:rsidRDefault="00544F6C" w:rsidP="002F2079">
      <w:pPr>
        <w:pStyle w:val="Carlo"/>
      </w:pPr>
      <w:r>
        <w:t xml:space="preserve">The </w:t>
      </w:r>
      <w:r w:rsidR="00E809DC">
        <w:t xml:space="preserve">Commission </w:t>
      </w:r>
      <w:r>
        <w:t xml:space="preserve">relies on the witness statement of </w:t>
      </w:r>
      <w:r w:rsidR="00FC5ABD">
        <w:t>Ms</w:t>
      </w:r>
      <w:r>
        <w:t xml:space="preserve"> Angharad Davies, a Principal in its Compliance Team.  Since October 2023, she has led the EHRC work on police use of facial recognition technology, including LFR.  </w:t>
      </w:r>
    </w:p>
    <w:p w14:paraId="2BF0C693" w14:textId="5858E9F5" w:rsidR="00544F6C" w:rsidRDefault="00FC5ABD" w:rsidP="002F2079">
      <w:pPr>
        <w:pStyle w:val="Carlo"/>
      </w:pPr>
      <w:r>
        <w:t>Ms</w:t>
      </w:r>
      <w:r w:rsidR="00544F6C">
        <w:t xml:space="preserve"> Davies explains that the equality and human rights implications of digital services and artificial intelligence have been a key priority for the </w:t>
      </w:r>
      <w:r w:rsidR="00E809DC">
        <w:t xml:space="preserve">Commission </w:t>
      </w:r>
      <w:r w:rsidR="00544F6C">
        <w:t xml:space="preserve">in recent years.  She describes the numerous ways in which the </w:t>
      </w:r>
      <w:r w:rsidR="00E809DC">
        <w:t xml:space="preserve">Commission </w:t>
      </w:r>
      <w:r w:rsidR="00544F6C">
        <w:t xml:space="preserve">has contributed to public debate and </w:t>
      </w:r>
      <w:proofErr w:type="gramStart"/>
      <w:r w:rsidR="00544F6C">
        <w:t>policy</w:t>
      </w:r>
      <w:r w:rsidR="00AE3F24">
        <w:t>-making</w:t>
      </w:r>
      <w:proofErr w:type="gramEnd"/>
      <w:r w:rsidR="00AE3F24">
        <w:t xml:space="preserve"> on</w:t>
      </w:r>
      <w:r w:rsidR="00544F6C">
        <w:t xml:space="preserve"> facial recognition technology in general and LFR in particular.  We do not find her language </w:t>
      </w:r>
      <w:r w:rsidR="00916411">
        <w:t xml:space="preserve">sufficiently </w:t>
      </w:r>
      <w:r w:rsidR="00544F6C">
        <w:t xml:space="preserve">specific to gain a clear picture of what the EHRC has undertaken and achieved.  We note however that it has worked with the Home Office, police forces, the College of Policing, the Local Government Association and the Information Commissioner’s Office in relation to the equality and human rights impacts of artificial intelligence.  In September 2022, it published guidance called “Artificial Intelligence: meeting the Public Sector Equality Duty”    </w:t>
      </w:r>
    </w:p>
    <w:p w14:paraId="4EFEBC22" w14:textId="309B51C7" w:rsidR="00544F6C" w:rsidRDefault="00FC5ABD" w:rsidP="002F2079">
      <w:pPr>
        <w:pStyle w:val="Carlo"/>
      </w:pPr>
      <w:r>
        <w:lastRenderedPageBreak/>
        <w:t>Ms</w:t>
      </w:r>
      <w:r w:rsidR="00544F6C">
        <w:t xml:space="preserve"> Davies confirms the </w:t>
      </w:r>
      <w:r w:rsidR="00E809DC">
        <w:t xml:space="preserve">Commission’s </w:t>
      </w:r>
      <w:r w:rsidR="00544F6C">
        <w:t xml:space="preserve">view that the responsible use of LFR by the police “can play a role in preventing and tackling crime, thereby contributing to public safety.”  She observes that “it is essential that clear rules are in place to ensure that [LFR] is only </w:t>
      </w:r>
      <w:proofErr w:type="gramStart"/>
      <w:r w:rsidR="00544F6C">
        <w:t>used</w:t>
      </w:r>
      <w:proofErr w:type="gramEnd"/>
      <w:r w:rsidR="00544F6C">
        <w:t xml:space="preserve"> when necessary, proportionate and with appropriate safeguards.”   She emphasises that the use of LFR at protests risks a “chilling effect” on individuals’ rights under articles 10 and 11 of the Convention, which are “central to democratic functioning.”  Given the importance of article 10 and 11 rights, the </w:t>
      </w:r>
      <w:r w:rsidR="003B607A">
        <w:t xml:space="preserve">Commission’s </w:t>
      </w:r>
      <w:r w:rsidR="00544F6C">
        <w:t xml:space="preserve">view is that “a higher justification for police to use [LFR] at protests is required.”   We pause here to note that the EHRC’s concerns may be </w:t>
      </w:r>
      <w:proofErr w:type="gramStart"/>
      <w:r w:rsidR="00544F6C">
        <w:t>important</w:t>
      </w:r>
      <w:proofErr w:type="gramEnd"/>
      <w:r w:rsidR="00544F6C">
        <w:t xml:space="preserve"> but they do not concern the question with which the court is concerned in this claim.  </w:t>
      </w:r>
    </w:p>
    <w:p w14:paraId="1D84502D" w14:textId="5D4EEABE" w:rsidR="00544F6C" w:rsidRPr="004C61D3" w:rsidRDefault="00FC5ABD" w:rsidP="002F2079">
      <w:pPr>
        <w:pStyle w:val="Carlo"/>
      </w:pPr>
      <w:r>
        <w:t>Ms</w:t>
      </w:r>
      <w:r w:rsidR="00544F6C">
        <w:t xml:space="preserve"> Davies describes how the </w:t>
      </w:r>
      <w:r w:rsidR="003B607A">
        <w:t xml:space="preserve">Commission </w:t>
      </w:r>
      <w:r w:rsidR="00544F6C">
        <w:t>employs a statistician, Dr Arturo Lonighi, who has carried out statistical analysis of the MPS’</w:t>
      </w:r>
      <w:r w:rsidR="00A614ED">
        <w:t>s</w:t>
      </w:r>
      <w:r w:rsidR="00544F6C">
        <w:t xml:space="preserve"> data relating to LFR deployment between 11 September 2024 (when the Policy came into effect) to 10 May 2025.  His analysis shows that, for the 130 deployments of LFR in this period, the total number of people whose biometric data was extracted and analysed was 1,707,194.  The smallest watchlist size was 13,419; the largest was 19,199; the average was 15,537.  According to Dr Lonighi, the average rate of positive identifications relative to watchlist size was 0.06%.  The highest rate was 0.16% and the lowest was 0%.        </w:t>
      </w:r>
    </w:p>
    <w:p w14:paraId="7804906E" w14:textId="77777777" w:rsidR="00544F6C" w:rsidRPr="004B0E4B" w:rsidRDefault="00544F6C" w:rsidP="002F2079">
      <w:pPr>
        <w:pStyle w:val="ParaLevel1"/>
        <w:numPr>
          <w:ilvl w:val="0"/>
          <w:numId w:val="0"/>
        </w:numPr>
        <w:rPr>
          <w:b/>
          <w:bCs/>
        </w:rPr>
      </w:pPr>
      <w:r>
        <w:rPr>
          <w:b/>
          <w:bCs/>
        </w:rPr>
        <w:t xml:space="preserve">Professor Utley’s </w:t>
      </w:r>
      <w:r w:rsidRPr="004B0E4B">
        <w:rPr>
          <w:b/>
          <w:bCs/>
        </w:rPr>
        <w:t xml:space="preserve">evidence </w:t>
      </w:r>
    </w:p>
    <w:p w14:paraId="6225D41B" w14:textId="11F35152" w:rsidR="00544F6C" w:rsidRDefault="00544F6C" w:rsidP="002F2079">
      <w:pPr>
        <w:pStyle w:val="Carlo"/>
      </w:pPr>
      <w:r>
        <w:t xml:space="preserve">As we have set out above, the claimants seek to rely on the second and third reports of Professor Martin Utley.  He is currently a Professor of Operational Research (“OR”) at the UCL Clinical Operational Research Unit having previously served as the Director of this Unit for over ten years.   His expertise lies in OR in the health and healthcare fields.  He does not purport to have any previous experience in policing methods or crime-related statistics.  He says in his second report that the methods used in his research on health apply equally to the issues he has been instructed to consider in the present claim.  When we expressed some doubt that a health expert can assist the court on policing methods, </w:t>
      </w:r>
      <w:r w:rsidR="00D86F30">
        <w:t>Mr</w:t>
      </w:r>
      <w:r>
        <w:t xml:space="preserve"> Squires clarified that the claimants rely only on his mathematical modelling and not on any wider empirical analysis of LFR usage.</w:t>
      </w:r>
    </w:p>
    <w:p w14:paraId="6046EB4B" w14:textId="77777777" w:rsidR="00544F6C" w:rsidRDefault="00544F6C" w:rsidP="002F2079">
      <w:pPr>
        <w:pStyle w:val="Carlo"/>
      </w:pPr>
      <w:r>
        <w:t xml:space="preserve">In his second report, Professor Utley used publicly available data to estimate the proportion of each BCU that could be labelled as a crime hotspot under the Policy as </w:t>
      </w:r>
      <w:proofErr w:type="gramStart"/>
      <w:r>
        <w:t>at</w:t>
      </w:r>
      <w:proofErr w:type="gramEnd"/>
      <w:r>
        <w:t xml:space="preserve"> January 2024, and the additional proportion of each BCU where LFR could be deployed at access routes to hotspot areas.  He calculated these proportions using SGAs in the shape of squares (not hexagons) for the whole Metropolitan Police District.  He concluded: </w:t>
      </w:r>
    </w:p>
    <w:p w14:paraId="1BBD9422" w14:textId="77777777" w:rsidR="00544F6C" w:rsidRDefault="00544F6C" w:rsidP="002F2079">
      <w:pPr>
        <w:pStyle w:val="Quote"/>
      </w:pPr>
      <w:r>
        <w:t xml:space="preserve">“My estimate is that 47% of the Metropolitan Police District could be labelled as lying within a crime hot spot, with LFR deployable at any access points to these areas within a further 38% of the region served. </w:t>
      </w:r>
      <w:r w:rsidRPr="004E1A8F">
        <w:rPr>
          <w:i/>
          <w:iCs/>
        </w:rPr>
        <w:t>That gives a total figure of 85% of the Metropolitan Police District</w:t>
      </w:r>
      <w:r>
        <w:t xml:space="preserve">” (emphasis added). </w:t>
      </w:r>
    </w:p>
    <w:p w14:paraId="52E8A7CE" w14:textId="7B78D2D7" w:rsidR="00544F6C" w:rsidRDefault="00544F6C" w:rsidP="002F2079">
      <w:pPr>
        <w:pStyle w:val="Carlo"/>
      </w:pPr>
      <w:r>
        <w:t xml:space="preserve">As we understand it, Professor Utley is here saying that the MPS could, under Use Case A, decide to locate LFR cameras in 85% of the area that makes up the Metropolitan Police District.  Relying on this analysis, the </w:t>
      </w:r>
      <w:proofErr w:type="gramStart"/>
      <w:r>
        <w:t>claimants’</w:t>
      </w:r>
      <w:proofErr w:type="gramEnd"/>
      <w:r>
        <w:t xml:space="preserve"> amended grounds of challenge contend that “it is likely the </w:t>
      </w:r>
      <w:r w:rsidR="00092AEE">
        <w:t>d</w:t>
      </w:r>
      <w:r>
        <w:t xml:space="preserve">efendant can choose anywhere he wishes within over 80% </w:t>
      </w:r>
      <w:r>
        <w:lastRenderedPageBreak/>
        <w:t xml:space="preserve">of London to locate an LFR deployment as it will be a ‘crime hotspot,’ or contain ‘access routes’ to a hotspot.”  </w:t>
      </w:r>
    </w:p>
    <w:p w14:paraId="427A604E" w14:textId="77777777" w:rsidR="00544F6C" w:rsidRDefault="00544F6C" w:rsidP="002F2079">
      <w:pPr>
        <w:pStyle w:val="Carlo"/>
      </w:pPr>
      <w:r>
        <w:t xml:space="preserve">In her second witness statement, Ms Chiswick criticises the accuracy of Professor Utley’s conclusion, pointing out that the physical and practical realities of London mean that LFR technology cannot physically be deployed in such a large part of London.  She points out that Professor Utley had made no allowance for private property, such as housing, back gardens and business premises, where the police would have no legal authority to place cameras.   She points out that Professor Utley overlooked physical barriers to the positioning of cameras such as the River Thames.  He had measured access routes by drawing an additional 300m wide zone around the perimeters of SGAs whereas the Policy is limited to actual access routes, not with all points within a 300m radius of a crime hotspot.   </w:t>
      </w:r>
    </w:p>
    <w:p w14:paraId="6BCD5B56" w14:textId="77777777" w:rsidR="00544F6C" w:rsidRDefault="00544F6C" w:rsidP="002F2079">
      <w:pPr>
        <w:pStyle w:val="Carlo"/>
      </w:pPr>
      <w:r>
        <w:t>Ms Chiswick describes how the MPS tested Professor Utley’s conclusions by undertaking their own modelling whose conclusions she describes as follows:</w:t>
      </w:r>
    </w:p>
    <w:p w14:paraId="4035EBA0" w14:textId="77777777" w:rsidR="00544F6C" w:rsidRDefault="00544F6C" w:rsidP="002F2079">
      <w:pPr>
        <w:pStyle w:val="Quote"/>
      </w:pPr>
      <w:r>
        <w:t xml:space="preserve">“107. Whereas the proportion of London covered by crime hotspots is 25%, the proportion of London covered by deployable parts of crime hotspots is only 7.6%. To arrive at the figure of 7.6%, a team comprising a senior MPS criminologist, analysts and officers conducted geospatial analysis that applied two key filters: </w:t>
      </w:r>
      <w:proofErr w:type="spellStart"/>
      <w:r>
        <w:t>i</w:t>
      </w:r>
      <w:proofErr w:type="spellEnd"/>
      <w:r>
        <w:t>) crime hotspot areas, and ii) map-based filters that include public spaces such as roads and footpaths where LFR could be viably deployed, but exclude areas where LFR cannot be physically deployed (e.g. rivers, private buildings, or locations without public access). The 7.6% figure produced by this model will still be an overestimate, because various factors that would preclude deployment cannot be modelled: for example, certain pavements may be too narrow and/or have things like bins on them preventing the use of a van, and there may be trees blocking the camera view. Nevertheless, the model provides a working estimate.”</w:t>
      </w:r>
    </w:p>
    <w:p w14:paraId="6F9D3CDA" w14:textId="30F3A0F9" w:rsidR="00544F6C" w:rsidRDefault="00544F6C" w:rsidP="002F2079">
      <w:pPr>
        <w:pStyle w:val="Carlo"/>
      </w:pPr>
      <w:r>
        <w:t xml:space="preserve">Professor Utley undertook further calculations </w:t>
      </w:r>
      <w:proofErr w:type="gramStart"/>
      <w:r>
        <w:t>in light of</w:t>
      </w:r>
      <w:proofErr w:type="gramEnd"/>
      <w:r>
        <w:t xml:space="preserve"> Ms Chiswick’s criticisms.  Having been informed that the MPS had reached its conclusion using a map-based filter that enabled modelling in relation to public </w:t>
      </w:r>
      <w:proofErr w:type="gramStart"/>
      <w:r>
        <w:t>spaces,  he</w:t>
      </w:r>
      <w:proofErr w:type="gramEnd"/>
      <w:r>
        <w:t xml:space="preserve"> decided to commission analysis from Centre Maps, a company offering mapping and related data analysis.  He asked Centre Maps to measure the area within the M</w:t>
      </w:r>
      <w:r w:rsidR="00ED7E39">
        <w:t>etropolitan Police</w:t>
      </w:r>
      <w:r>
        <w:t xml:space="preserve"> District that is categorised as “roads”, “tracks”, “paths” or “roadside” (together “roads”) using Ordnance Survey mapping.  By limiting his analysis to roads, he concluded in this third report that </w:t>
      </w:r>
      <w:r w:rsidR="009461D4">
        <w:t>52</w:t>
      </w:r>
      <w:r>
        <w:t xml:space="preserve">% of London lies within a crime hotspot with a further </w:t>
      </w:r>
      <w:r w:rsidR="009461D4">
        <w:t>10</w:t>
      </w:r>
      <w:r>
        <w:t xml:space="preserve">% associated with areas deemed “access routes” by the MPS, which gives a total of </w:t>
      </w:r>
      <w:r w:rsidR="009461D4">
        <w:t>62</w:t>
      </w:r>
      <w:r>
        <w:t xml:space="preserve">%.  </w:t>
      </w:r>
    </w:p>
    <w:p w14:paraId="3C798586" w14:textId="6066A5C1" w:rsidR="00544F6C" w:rsidRDefault="00544F6C" w:rsidP="002F2079">
      <w:pPr>
        <w:pStyle w:val="Carlo"/>
      </w:pPr>
      <w:r>
        <w:t xml:space="preserve">Professor Utley’s figures of 85% and </w:t>
      </w:r>
      <w:r w:rsidR="009461D4">
        <w:t>62</w:t>
      </w:r>
      <w:r>
        <w:t xml:space="preserve">% are unenlightening in the context of the issues raised by the present claim. </w:t>
      </w:r>
      <w:r w:rsidR="00C53297">
        <w:t xml:space="preserve">  </w:t>
      </w:r>
      <w:r>
        <w:t xml:space="preserve">As set out in their Note, the claimants rely on Professor Utley to </w:t>
      </w:r>
      <w:proofErr w:type="gramStart"/>
      <w:r>
        <w:t>found</w:t>
      </w:r>
      <w:proofErr w:type="gramEnd"/>
      <w:r>
        <w:t xml:space="preserve"> the submission that the MPS </w:t>
      </w:r>
      <w:proofErr w:type="gramStart"/>
      <w:r>
        <w:t>is able to</w:t>
      </w:r>
      <w:proofErr w:type="gramEnd"/>
      <w:r>
        <w:t xml:space="preserve"> select virtually any area of high footfall across London and deploy LFR there in the hope that a Sought Person will be present.   We do not agree.  </w:t>
      </w:r>
    </w:p>
    <w:p w14:paraId="5B062A00" w14:textId="444BBC51" w:rsidR="008B419F" w:rsidRDefault="00C27D70" w:rsidP="002F2079">
      <w:pPr>
        <w:pStyle w:val="Carlo"/>
      </w:pPr>
      <w:r>
        <w:lastRenderedPageBreak/>
        <w:t>First, a</w:t>
      </w:r>
      <w:r w:rsidR="00060DB4">
        <w:t xml:space="preserve">s the </w:t>
      </w:r>
      <w:r w:rsidR="001856AC">
        <w:t>c</w:t>
      </w:r>
      <w:r w:rsidR="00060DB4">
        <w:t xml:space="preserve">laimants’ Note on Expert Evidence concedes, Professor Utley reaches </w:t>
      </w:r>
      <w:r w:rsidR="00A16282">
        <w:t>his conclusions</w:t>
      </w:r>
      <w:r w:rsidR="00060DB4">
        <w:t xml:space="preserve"> by </w:t>
      </w:r>
      <w:r w:rsidR="005960A1">
        <w:t>an</w:t>
      </w:r>
      <w:r w:rsidR="00060DB4">
        <w:t xml:space="preserve"> examination of only </w:t>
      </w:r>
      <w:r w:rsidR="00702D72">
        <w:t xml:space="preserve">a </w:t>
      </w:r>
      <w:r w:rsidR="0025597E">
        <w:t>single, aspect</w:t>
      </w:r>
      <w:r w:rsidR="006A2475">
        <w:t xml:space="preserve"> </w:t>
      </w:r>
      <w:r w:rsidR="00060DB4">
        <w:t>of the Policy: the “where” question</w:t>
      </w:r>
      <w:r w:rsidR="006A2475">
        <w:t xml:space="preserve"> as it relates to </w:t>
      </w:r>
      <w:r w:rsidR="00B75EB2">
        <w:t>one part of Use Case A, namely</w:t>
      </w:r>
      <w:r w:rsidR="00B95838">
        <w:t xml:space="preserve"> </w:t>
      </w:r>
      <w:r w:rsidR="00B75EB2">
        <w:t>“crime hotspots” (as defined in para 2.3(a)</w:t>
      </w:r>
      <w:r w:rsidR="001F2D4E">
        <w:t>)</w:t>
      </w:r>
      <w:r w:rsidR="00D76279">
        <w:t xml:space="preserve"> and access routes to crime hotspots (as defined in para </w:t>
      </w:r>
      <w:r w:rsidR="00C70DFB">
        <w:t>5.2)</w:t>
      </w:r>
      <w:r w:rsidR="00060DB4">
        <w:t>.</w:t>
      </w:r>
      <w:r w:rsidR="00C06919">
        <w:t xml:space="preserve">  He was instructed by the claimants’ solicitors to deal with</w:t>
      </w:r>
      <w:r w:rsidR="002F4EBD">
        <w:t xml:space="preserve"> a second aspect of the Policy, namely “</w:t>
      </w:r>
      <w:r w:rsidR="004C605E">
        <w:t xml:space="preserve">the proportion of London </w:t>
      </w:r>
      <w:r w:rsidR="002F4EBD">
        <w:t xml:space="preserve">that could be considered to be </w:t>
      </w:r>
      <w:r w:rsidR="002B4763">
        <w:t xml:space="preserve">within the deployable range” of CNI </w:t>
      </w:r>
      <w:r w:rsidR="002F1DCB">
        <w:t xml:space="preserve">but declined to </w:t>
      </w:r>
      <w:r w:rsidR="001F2D4E">
        <w:t>reach</w:t>
      </w:r>
      <w:r w:rsidR="002F1DCB">
        <w:t xml:space="preserve"> a conclusion on this question for want of </w:t>
      </w:r>
      <w:r w:rsidR="008B419F">
        <w:t xml:space="preserve">information about what constitutes </w:t>
      </w:r>
      <w:proofErr w:type="gramStart"/>
      <w:r w:rsidR="008B419F">
        <w:t xml:space="preserve">CNI, </w:t>
      </w:r>
      <w:r w:rsidR="00514813">
        <w:t xml:space="preserve"> </w:t>
      </w:r>
      <w:r w:rsidR="00FA6931">
        <w:t>Accordingly</w:t>
      </w:r>
      <w:proofErr w:type="gramEnd"/>
      <w:r w:rsidR="00FA6931">
        <w:t xml:space="preserve">, </w:t>
      </w:r>
      <w:r w:rsidR="00841C26">
        <w:t xml:space="preserve">the scope of his evidence is necessarily limited.  </w:t>
      </w:r>
      <w:r w:rsidR="00F53E25">
        <w:t xml:space="preserve"> </w:t>
      </w:r>
    </w:p>
    <w:p w14:paraId="79DB86B4" w14:textId="6C9496E5" w:rsidR="00060DB4" w:rsidRDefault="00841C26" w:rsidP="002F2079">
      <w:pPr>
        <w:pStyle w:val="Carlo"/>
      </w:pPr>
      <w:r>
        <w:t xml:space="preserve">Even within </w:t>
      </w:r>
      <w:r w:rsidR="001368EC">
        <w:t xml:space="preserve">its own </w:t>
      </w:r>
      <w:r>
        <w:t>narrow compass</w:t>
      </w:r>
      <w:r w:rsidR="001368EC">
        <w:t xml:space="preserve">, </w:t>
      </w:r>
      <w:r w:rsidR="00B458DA">
        <w:t>Professor Utley</w:t>
      </w:r>
      <w:r w:rsidR="001368EC">
        <w:t>’s evidence</w:t>
      </w:r>
      <w:r w:rsidR="00B458DA">
        <w:t xml:space="preserve"> f</w:t>
      </w:r>
      <w:r w:rsidR="00060DB4">
        <w:t xml:space="preserve">ails to deal with the significant constraints </w:t>
      </w:r>
      <w:r w:rsidR="000B50A9">
        <w:t xml:space="preserve">on </w:t>
      </w:r>
      <w:r w:rsidR="007047E6">
        <w:t xml:space="preserve">the location of LFR </w:t>
      </w:r>
      <w:r w:rsidR="00590154">
        <w:t xml:space="preserve">for the purpose of </w:t>
      </w:r>
      <w:r w:rsidR="000B50A9">
        <w:t>crime hotspot policing</w:t>
      </w:r>
      <w:r w:rsidR="00590154">
        <w:t xml:space="preserve"> which </w:t>
      </w:r>
      <w:r w:rsidR="007047E6">
        <w:t xml:space="preserve">are </w:t>
      </w:r>
      <w:r w:rsidR="00060DB4">
        <w:t xml:space="preserve">imposed by other sections of the Policy, including the sections on the “why” question and the “who” question. </w:t>
      </w:r>
      <w:r w:rsidR="00B93710">
        <w:t xml:space="preserve">  </w:t>
      </w:r>
      <w:r w:rsidR="00733344">
        <w:t>As we have set out above, t</w:t>
      </w:r>
      <w:r w:rsidR="00B93710">
        <w:t xml:space="preserve">hese constraints include (but are not limited to): </w:t>
      </w:r>
      <w:r w:rsidR="00405702">
        <w:t>(</w:t>
      </w:r>
      <w:r w:rsidR="00D970B7">
        <w:t>1</w:t>
      </w:r>
      <w:r w:rsidR="00405702">
        <w:t xml:space="preserve">) </w:t>
      </w:r>
      <w:r w:rsidR="00BA4BB2">
        <w:t xml:space="preserve">the requirement that LFR must only be used to </w:t>
      </w:r>
      <w:r w:rsidR="0049231C">
        <w:t xml:space="preserve">support </w:t>
      </w:r>
      <w:r w:rsidR="008F7D90">
        <w:t>the</w:t>
      </w:r>
      <w:r w:rsidR="0049231C">
        <w:t xml:space="preserve"> relevant policing objectives </w:t>
      </w:r>
      <w:r w:rsidR="008F7D90">
        <w:t xml:space="preserve">for Use Case A (para </w:t>
      </w:r>
      <w:r w:rsidR="00B1207A">
        <w:t>2.5)</w:t>
      </w:r>
      <w:r w:rsidR="0049231C">
        <w:t xml:space="preserve">; </w:t>
      </w:r>
      <w:r w:rsidR="0012507F">
        <w:t>(</w:t>
      </w:r>
      <w:r w:rsidR="00B1207A">
        <w:t>2</w:t>
      </w:r>
      <w:r w:rsidR="0012507F">
        <w:t xml:space="preserve">) </w:t>
      </w:r>
      <w:r w:rsidR="008A59F3">
        <w:t xml:space="preserve">the construction of watchlists (which will in turn </w:t>
      </w:r>
      <w:r w:rsidR="00151673">
        <w:t xml:space="preserve">influence whether to deploy LFR) </w:t>
      </w:r>
      <w:r w:rsidR="00DD7F1E">
        <w:t xml:space="preserve">in accordance with the detailed provisions of </w:t>
      </w:r>
      <w:r w:rsidR="006644CB">
        <w:t>the Policy</w:t>
      </w:r>
      <w:r w:rsidR="00614A70">
        <w:t xml:space="preserve"> (see especially para 4.3)</w:t>
      </w:r>
      <w:r w:rsidR="006644CB">
        <w:t xml:space="preserve">; </w:t>
      </w:r>
      <w:r w:rsidR="00A56171">
        <w:t xml:space="preserve">(3) </w:t>
      </w:r>
      <w:r w:rsidR="00C575B4">
        <w:t xml:space="preserve">the mandatory consideration of </w:t>
      </w:r>
      <w:r w:rsidR="0056749C">
        <w:t xml:space="preserve">relevant hotspot offence types as a building block in watchlist construction (para </w:t>
      </w:r>
      <w:r w:rsidR="008F7440">
        <w:t xml:space="preserve">2.6); and </w:t>
      </w:r>
      <w:r w:rsidR="00C575B4">
        <w:t xml:space="preserve"> </w:t>
      </w:r>
      <w:r w:rsidR="006644CB">
        <w:t>(</w:t>
      </w:r>
      <w:r w:rsidR="00A56171">
        <w:t>4</w:t>
      </w:r>
      <w:r w:rsidR="006644CB">
        <w:t xml:space="preserve">) </w:t>
      </w:r>
      <w:r w:rsidR="002A3EE4">
        <w:t>a mandatory proportionality assessment by an Authorising Officer</w:t>
      </w:r>
      <w:r w:rsidR="00DD7F1E">
        <w:t xml:space="preserve"> prior to any deployment</w:t>
      </w:r>
      <w:r w:rsidR="00EF7B11">
        <w:t xml:space="preserve"> (para 6.1)</w:t>
      </w:r>
      <w:r w:rsidR="00405702">
        <w:t>.</w:t>
      </w:r>
      <w:r w:rsidR="00D51487">
        <w:t xml:space="preserve">  Professor Utley’s evidence does not and cannot speak to these constraints</w:t>
      </w:r>
      <w:r w:rsidR="00135267">
        <w:t xml:space="preserve"> which are bound to influence </w:t>
      </w:r>
      <w:r w:rsidR="00994267">
        <w:t xml:space="preserve">where LFR can and cannot </w:t>
      </w:r>
      <w:r w:rsidR="005A7611">
        <w:t>b</w:t>
      </w:r>
      <w:r w:rsidR="00994267">
        <w:t xml:space="preserve">e deployed. </w:t>
      </w:r>
      <w:r w:rsidR="00D55231">
        <w:t xml:space="preserve">  </w:t>
      </w:r>
      <w:r w:rsidR="00060DB4">
        <w:t xml:space="preserve">  </w:t>
      </w:r>
    </w:p>
    <w:p w14:paraId="672E8F0F" w14:textId="0C0B57BF" w:rsidR="003823AD" w:rsidRDefault="00D55231" w:rsidP="002F2079">
      <w:pPr>
        <w:pStyle w:val="Carlo"/>
      </w:pPr>
      <w:r>
        <w:t>Secondly, e</w:t>
      </w:r>
      <w:r w:rsidR="00544F6C">
        <w:t xml:space="preserve">ven taking Professor Utley’s conclusions at their highest, they mean no more than that LFR cameras may (if other constraints within the Policy are met) be placed in 85% or </w:t>
      </w:r>
      <w:r w:rsidR="009461D4">
        <w:t>62</w:t>
      </w:r>
      <w:r w:rsidR="00544F6C">
        <w:t xml:space="preserve">% of a large metropolitan area. This tells the court nothing about whether the Policy is in accordance with the law.  A policy may be in accordance with the law if it covers a large proportion of London’s geography.  Conversely, it may not be in accordance with the law if it covers a small area.  There is no inherent link between the area covered by a policy and its lawfulness.  </w:t>
      </w:r>
      <w:r w:rsidR="00D86F30">
        <w:t>Mr</w:t>
      </w:r>
      <w:r w:rsidR="00544F6C">
        <w:t xml:space="preserve"> Squires was unable to make any persuasive submissions about how the possibility of using LFR in 85% or </w:t>
      </w:r>
      <w:r w:rsidR="009461D4">
        <w:t>62</w:t>
      </w:r>
      <w:r w:rsidR="00544F6C">
        <w:t>% of London may demonstrate that the Policy is not in accordance with the law.</w:t>
      </w:r>
      <w:r w:rsidR="00E458C3">
        <w:t xml:space="preserve">  </w:t>
      </w:r>
    </w:p>
    <w:p w14:paraId="0D58031F" w14:textId="485570FA" w:rsidR="00A3418B" w:rsidRDefault="00E458C3" w:rsidP="002F2079">
      <w:pPr>
        <w:pStyle w:val="Carlo"/>
      </w:pPr>
      <w:r>
        <w:t xml:space="preserve">Put another way, </w:t>
      </w:r>
      <w:r w:rsidR="00FE05FC">
        <w:t xml:space="preserve">the geographical proportion of London coverable by LFR is a </w:t>
      </w:r>
      <w:r w:rsidR="00D62263">
        <w:t xml:space="preserve">consequence </w:t>
      </w:r>
      <w:r w:rsidR="00FE05FC">
        <w:t xml:space="preserve">of </w:t>
      </w:r>
      <w:r w:rsidR="007E7711">
        <w:t xml:space="preserve">the defendant’s policy decision to </w:t>
      </w:r>
      <w:r w:rsidR="00406DDF">
        <w:t xml:space="preserve">define crime hotspots by reference to </w:t>
      </w:r>
      <w:r w:rsidR="006F630D">
        <w:t xml:space="preserve">areas </w:t>
      </w:r>
      <w:r w:rsidR="001707E4">
        <w:t xml:space="preserve">where the crime rate and/or rate at which crime is rising is assessed to be </w:t>
      </w:r>
      <w:r w:rsidR="003823AD">
        <w:t xml:space="preserve">in the upper quartile for any </w:t>
      </w:r>
      <w:proofErr w:type="gramStart"/>
      <w:r w:rsidR="003823AD">
        <w:t>particular BCU</w:t>
      </w:r>
      <w:proofErr w:type="gramEnd"/>
      <w:r w:rsidR="003823AD">
        <w:t xml:space="preserve"> or OCU area.</w:t>
      </w:r>
      <w:r w:rsidR="00C31011">
        <w:t xml:space="preserve">  Th</w:t>
      </w:r>
      <w:r w:rsidR="00AF72B9">
        <w:t xml:space="preserve">e defendant’s decision to select the upper quartile means that more of London may be </w:t>
      </w:r>
      <w:r w:rsidR="00605D6B">
        <w:t xml:space="preserve">the subject of LFR deployment </w:t>
      </w:r>
      <w:r w:rsidR="00AF72B9">
        <w:t>than, say</w:t>
      </w:r>
      <w:r w:rsidR="00ED20CE">
        <w:t>, a decision to select the upper decile</w:t>
      </w:r>
      <w:r w:rsidR="00667670">
        <w:t xml:space="preserve"> would allow</w:t>
      </w:r>
      <w:r w:rsidR="00ED20CE">
        <w:t>.  But the selection of the upper quartile h</w:t>
      </w:r>
      <w:r w:rsidR="00C31011">
        <w:t>as not</w:t>
      </w:r>
      <w:r w:rsidR="00ED20CE">
        <w:t xml:space="preserve"> </w:t>
      </w:r>
      <w:r w:rsidR="00667670">
        <w:t>been</w:t>
      </w:r>
      <w:r w:rsidR="00ED20CE">
        <w:t xml:space="preserve"> </w:t>
      </w:r>
      <w:r w:rsidR="00C31011">
        <w:t>challenged</w:t>
      </w:r>
      <w:r w:rsidR="00667670">
        <w:t xml:space="preserve"> by the claimants.</w:t>
      </w:r>
      <w:r w:rsidR="00AA3D32">
        <w:t xml:space="preserve">  It follows that </w:t>
      </w:r>
      <w:r w:rsidR="005C7E92">
        <w:t xml:space="preserve">Professor Utley’s </w:t>
      </w:r>
      <w:r w:rsidR="004C5E93">
        <w:t>conclusions</w:t>
      </w:r>
      <w:r w:rsidR="005C7E92">
        <w:t xml:space="preserve"> </w:t>
      </w:r>
      <w:r w:rsidR="00FD7E0D">
        <w:t xml:space="preserve">flow from a policy decision </w:t>
      </w:r>
      <w:r w:rsidR="00BD0E62">
        <w:t>that is not the subject of the present claim.</w:t>
      </w:r>
      <w:r w:rsidR="007D0F1D">
        <w:t xml:space="preserve">  </w:t>
      </w:r>
      <w:r w:rsidR="000A14D7">
        <w:t xml:space="preserve">The difference between </w:t>
      </w:r>
      <w:r w:rsidR="000C2A91">
        <w:t>the use of quartiles or deciles as a measure is not something which conceptually goes to arbitrariness or whim, particularly, when paras. 2.3(a) and 5.2 are read together with the remainder of section 2 and, indeed</w:t>
      </w:r>
      <w:r w:rsidR="00DD6847">
        <w:t xml:space="preserve">, </w:t>
      </w:r>
      <w:r w:rsidR="000C2A91">
        <w:t>the Policy as a whole.</w:t>
      </w:r>
      <w:r w:rsidR="003823AD">
        <w:t xml:space="preserve"> </w:t>
      </w:r>
      <w:r>
        <w:t xml:space="preserve">  </w:t>
      </w:r>
      <w:r w:rsidR="00544F6C">
        <w:t xml:space="preserve"> </w:t>
      </w:r>
    </w:p>
    <w:p w14:paraId="0354460D" w14:textId="33D93EC2" w:rsidR="0032681C" w:rsidRDefault="00D55231" w:rsidP="002F2079">
      <w:pPr>
        <w:pStyle w:val="Carlo"/>
      </w:pPr>
      <w:r>
        <w:t xml:space="preserve">Thirdly, </w:t>
      </w:r>
      <w:r w:rsidR="00D8293F">
        <w:t xml:space="preserve">as we have said, </w:t>
      </w:r>
      <w:r w:rsidR="002E3BE9">
        <w:t>Mr Squires</w:t>
      </w:r>
      <w:r w:rsidR="00D8293F">
        <w:t xml:space="preserve"> </w:t>
      </w:r>
      <w:r w:rsidR="002E3BE9">
        <w:t xml:space="preserve">relies on </w:t>
      </w:r>
      <w:r w:rsidR="008E01BE">
        <w:t>Professor Utley’s analysis</w:t>
      </w:r>
      <w:r w:rsidR="00BE4BDF">
        <w:t xml:space="preserve"> to impugn the Policy on the basis tha</w:t>
      </w:r>
      <w:r w:rsidR="00CC0722">
        <w:t xml:space="preserve">t it permits the defendant to select virtually any area of high footfall </w:t>
      </w:r>
      <w:r w:rsidR="00F31774">
        <w:t xml:space="preserve">across London.  </w:t>
      </w:r>
      <w:r w:rsidR="005674EB">
        <w:t xml:space="preserve">But </w:t>
      </w:r>
      <w:r w:rsidR="009B79B7">
        <w:t xml:space="preserve">Professor Utley’s reports do not deal with footfall.  </w:t>
      </w:r>
      <w:r w:rsidR="00265719">
        <w:t>The claimant’s solicitors, who commissioned the reports</w:t>
      </w:r>
      <w:r w:rsidR="00523854">
        <w:t>,</w:t>
      </w:r>
      <w:r w:rsidR="00265719">
        <w:t xml:space="preserve"> did not ask him to do so.  </w:t>
      </w:r>
      <w:r w:rsidR="004E174A">
        <w:t>His instructions d</w:t>
      </w:r>
      <w:r w:rsidR="00265719">
        <w:t xml:space="preserve">id </w:t>
      </w:r>
      <w:r w:rsidR="004E174A">
        <w:t xml:space="preserve">not ask him to consider </w:t>
      </w:r>
      <w:r w:rsidR="00265719">
        <w:t xml:space="preserve">(for example) </w:t>
      </w:r>
      <w:r w:rsidR="004E174A">
        <w:t xml:space="preserve">whether </w:t>
      </w:r>
      <w:r w:rsidR="00554552">
        <w:t xml:space="preserve">the terms of the </w:t>
      </w:r>
      <w:r w:rsidR="00265719">
        <w:t xml:space="preserve">Policy </w:t>
      </w:r>
      <w:r w:rsidR="00E63ABA">
        <w:lastRenderedPageBreak/>
        <w:t xml:space="preserve">are </w:t>
      </w:r>
      <w:r w:rsidR="001252AA">
        <w:t>w</w:t>
      </w:r>
      <w:r w:rsidR="00E63ABA">
        <w:t xml:space="preserve">eighted against scenes of crime in low </w:t>
      </w:r>
      <w:r w:rsidR="00265719">
        <w:t>fo</w:t>
      </w:r>
      <w:r w:rsidR="00E63ABA">
        <w:t>otfall areas</w:t>
      </w:r>
      <w:r w:rsidR="00DC52C4">
        <w:t xml:space="preserve">.  They did not </w:t>
      </w:r>
      <w:r w:rsidR="00C438A0">
        <w:t xml:space="preserve">ask him to provide any analysis of </w:t>
      </w:r>
      <w:r w:rsidR="00AD1072">
        <w:t>correlation between footfall and crime.</w:t>
      </w:r>
      <w:r w:rsidR="008D0272">
        <w:t xml:space="preserve">  </w:t>
      </w:r>
    </w:p>
    <w:p w14:paraId="4DF492E1" w14:textId="121C6047" w:rsidR="0045124F" w:rsidRDefault="00095BC7" w:rsidP="002F2079">
      <w:pPr>
        <w:pStyle w:val="Carlo"/>
      </w:pPr>
      <w:r>
        <w:t xml:space="preserve">Ms Chiswick </w:t>
      </w:r>
      <w:r w:rsidR="0032681C">
        <w:t>accepts in her</w:t>
      </w:r>
      <w:r>
        <w:t xml:space="preserve"> </w:t>
      </w:r>
      <w:r w:rsidR="0032681C">
        <w:t xml:space="preserve">second witness statement that there is </w:t>
      </w:r>
      <w:r w:rsidR="00210E09">
        <w:t>“often likely to be a degree of correlation between footfall and crime</w:t>
      </w:r>
      <w:r w:rsidR="00ED20D4">
        <w:t>”</w:t>
      </w:r>
      <w:r w:rsidR="00210E09">
        <w:t xml:space="preserve">.  Areas of high footfall contain </w:t>
      </w:r>
      <w:r w:rsidR="00210631">
        <w:t xml:space="preserve">“plenty of potential victims, and an </w:t>
      </w:r>
      <w:r w:rsidR="001361DC">
        <w:t>environment</w:t>
      </w:r>
      <w:r w:rsidR="00210631">
        <w:t xml:space="preserve"> in which victims may be easily distracted”.  </w:t>
      </w:r>
      <w:r w:rsidR="00B240D3">
        <w:t>She points out too that it is generally easier for criminals to evade dete</w:t>
      </w:r>
      <w:r w:rsidR="00B0221A">
        <w:t xml:space="preserve">ction </w:t>
      </w:r>
      <w:r w:rsidR="007001E2">
        <w:t>in crowded areas</w:t>
      </w:r>
      <w:r w:rsidR="00ED20D4">
        <w:t>,</w:t>
      </w:r>
      <w:r w:rsidR="007001E2">
        <w:t xml:space="preserve"> and that </w:t>
      </w:r>
      <w:r w:rsidR="0045124F">
        <w:t xml:space="preserve">areas that contain more people will (other things being equal) contain more offenders.  </w:t>
      </w:r>
    </w:p>
    <w:p w14:paraId="162CC043" w14:textId="386F36EA" w:rsidR="00FA3817" w:rsidRDefault="00F241B1" w:rsidP="002F2079">
      <w:pPr>
        <w:pStyle w:val="Carlo"/>
      </w:pPr>
      <w:r>
        <w:t>However, Ms Chiswick goes on to make the following powerful observations:</w:t>
      </w:r>
      <w:r w:rsidR="0032681C">
        <w:t xml:space="preserve"> </w:t>
      </w:r>
    </w:p>
    <w:p w14:paraId="6C96DD29" w14:textId="228B2D5A" w:rsidR="002764D1" w:rsidRDefault="002764D1" w:rsidP="002F2079">
      <w:pPr>
        <w:pStyle w:val="Quote"/>
      </w:pPr>
      <w:r>
        <w:t>“</w:t>
      </w:r>
      <w:r w:rsidR="00A3105B">
        <w:t xml:space="preserve">87. </w:t>
      </w:r>
      <w:r>
        <w:t>However, the fact remains that footfall is not a criterion for deployment, and indeed there is no necessary connection between footfall and crime (or rate at which crime is rising) in all cases. Indeed, our published data shows that we deploy to hotspots with a range of levels of footfall. The average number of faces passing the camera per minute at Westfield, Shepherds Bush on 29 November 2024 was 97.29: that is plainly a high-footfall location. By contrast, the average number of faces passing the camera per minute at Thornton Heath on 17 September 2024 was 8.81: that is not a high-footfall location. Both were crime hotspots. By contrast, there are many areas of high footfall in London that would not meet the crime hotspot criteria: for example, Gallions Reach Shopping Centre in Newham, Caledonian Road Tube Station, Bexley Town Centre, Blackfriars Railway Station, the Tate Modern (as the third most visited UK attraction in 2024), Knightsbridge, the Science and V&amp;A museums, and Tower Bridge. Fundamentally, we are not interested in areas with high numbers of people but in areas which by their nature are likely to attract the people we are looking for: that is exactly why we focus on crime data, not footfall.”</w:t>
      </w:r>
    </w:p>
    <w:p w14:paraId="28B2B365" w14:textId="428BB8E6" w:rsidR="00E0552E" w:rsidRDefault="00E63029" w:rsidP="002F2079">
      <w:pPr>
        <w:pStyle w:val="Carlo"/>
      </w:pPr>
      <w:r>
        <w:t>Professor Utley w</w:t>
      </w:r>
      <w:r w:rsidR="00133659">
        <w:t xml:space="preserve">as not instructed to deal with </w:t>
      </w:r>
      <w:r w:rsidR="007544D4">
        <w:t>Ms Chiswick’s evidence on footfall</w:t>
      </w:r>
      <w:r w:rsidR="00C853E7">
        <w:t>, so that we do not know what</w:t>
      </w:r>
      <w:r w:rsidR="00A82A37">
        <w:t>, if any,</w:t>
      </w:r>
      <w:r w:rsidR="00C853E7">
        <w:t xml:space="preserve"> response he would have </w:t>
      </w:r>
      <w:r w:rsidR="003F276B">
        <w:t>been</w:t>
      </w:r>
      <w:r w:rsidR="00C853E7">
        <w:t xml:space="preserve"> able to provide</w:t>
      </w:r>
      <w:r w:rsidR="007544D4">
        <w:t>.</w:t>
      </w:r>
      <w:r w:rsidR="00A32E66">
        <w:t xml:space="preserve">  </w:t>
      </w:r>
      <w:r w:rsidR="009919E8">
        <w:t xml:space="preserve">A key part of the claimant’s </w:t>
      </w:r>
      <w:r w:rsidR="005F2A67">
        <w:t xml:space="preserve">reliance on Professor Utley therefore revolves around </w:t>
      </w:r>
      <w:r w:rsidR="002A3350">
        <w:t xml:space="preserve">a subject </w:t>
      </w:r>
      <w:r w:rsidR="00DB23D2">
        <w:t>– namely the relation between footfall and crime hotspots – that he was not asked to model.</w:t>
      </w:r>
      <w:r w:rsidR="00840FE7">
        <w:t xml:space="preserve">  </w:t>
      </w:r>
      <w:r w:rsidR="00C40AB2">
        <w:t>Th</w:t>
      </w:r>
      <w:r w:rsidR="003F276B">
        <w:t xml:space="preserve">at </w:t>
      </w:r>
      <w:r w:rsidR="001811C0">
        <w:t>approach is self-evidently inadequate</w:t>
      </w:r>
      <w:r w:rsidR="00A24F51">
        <w:t xml:space="preserve">, shoehorning </w:t>
      </w:r>
      <w:r w:rsidR="00D32AF0">
        <w:t xml:space="preserve">Professor Utley’s evidence into legal submissions that </w:t>
      </w:r>
      <w:r w:rsidR="00DE1305">
        <w:t xml:space="preserve">his evidence </w:t>
      </w:r>
      <w:r w:rsidR="00D32AF0">
        <w:t xml:space="preserve">was inapt </w:t>
      </w:r>
      <w:r w:rsidR="00CB4F4C">
        <w:t>to advance</w:t>
      </w:r>
      <w:r w:rsidR="001811C0">
        <w:t xml:space="preserve">. </w:t>
      </w:r>
    </w:p>
    <w:p w14:paraId="1D044D02" w14:textId="23B76CDA" w:rsidR="00544F6C" w:rsidRDefault="003532CA" w:rsidP="002F2079">
      <w:pPr>
        <w:pStyle w:val="Carlo"/>
      </w:pPr>
      <w:r>
        <w:t>Fourthly</w:t>
      </w:r>
      <w:r w:rsidR="001811C0">
        <w:t xml:space="preserve">, </w:t>
      </w:r>
      <w:r w:rsidR="00FA3817">
        <w:t>Mr Squires a</w:t>
      </w:r>
      <w:r w:rsidR="00C01A51">
        <w:t xml:space="preserve">greed </w:t>
      </w:r>
      <w:r w:rsidR="00FA3817">
        <w:t xml:space="preserve">that </w:t>
      </w:r>
      <w:r w:rsidR="00A5563C">
        <w:t xml:space="preserve">the MPS may be justified in using LFR </w:t>
      </w:r>
      <w:r w:rsidR="00EB7140">
        <w:t xml:space="preserve">to apprehend </w:t>
      </w:r>
      <w:r w:rsidR="007D2D47">
        <w:t xml:space="preserve">offenders </w:t>
      </w:r>
      <w:r w:rsidR="00A5563C">
        <w:t xml:space="preserve">in </w:t>
      </w:r>
      <w:r w:rsidR="00F86AE2">
        <w:t xml:space="preserve">certain </w:t>
      </w:r>
      <w:r w:rsidR="00666C47">
        <w:t>crowded places such as football stadiums</w:t>
      </w:r>
      <w:r w:rsidR="00AD521B">
        <w:t xml:space="preserve">.  He did </w:t>
      </w:r>
      <w:r w:rsidR="00471A5F">
        <w:t>not criticise its</w:t>
      </w:r>
      <w:r w:rsidR="00F60873">
        <w:t xml:space="preserve"> use at event PSOs</w:t>
      </w:r>
      <w:r w:rsidR="00EC0B23">
        <w:t xml:space="preserve"> “which are expected to attract public attendance” (</w:t>
      </w:r>
      <w:r w:rsidR="00755FCC">
        <w:t>para.</w:t>
      </w:r>
      <w:r w:rsidR="006D6A04">
        <w:t>2.7(b)</w:t>
      </w:r>
      <w:r w:rsidR="00471A5F">
        <w:t xml:space="preserve"> of </w:t>
      </w:r>
      <w:r w:rsidR="005D7B8B">
        <w:t>the</w:t>
      </w:r>
      <w:r w:rsidR="00471A5F">
        <w:t xml:space="preserve"> Policy</w:t>
      </w:r>
      <w:r w:rsidR="006D6A04">
        <w:t>).</w:t>
      </w:r>
      <w:r w:rsidR="003F7359">
        <w:t xml:space="preserve">  </w:t>
      </w:r>
      <w:r w:rsidR="00152EBA">
        <w:t>He did not explain why interference with</w:t>
      </w:r>
      <w:r w:rsidR="005F4090">
        <w:t xml:space="preserve"> privacy or other rights at football matches and public event</w:t>
      </w:r>
      <w:r w:rsidR="00AF07FE">
        <w:t xml:space="preserve">s </w:t>
      </w:r>
      <w:r w:rsidR="00236581">
        <w:t xml:space="preserve">with high footfall </w:t>
      </w:r>
      <w:proofErr w:type="gramStart"/>
      <w:r w:rsidR="00B42B3C">
        <w:t>i</w:t>
      </w:r>
      <w:r w:rsidR="00054986">
        <w:t>s capable of</w:t>
      </w:r>
      <w:r w:rsidR="00AF07FE">
        <w:t xml:space="preserve"> meet</w:t>
      </w:r>
      <w:r w:rsidR="00054986">
        <w:t>ing</w:t>
      </w:r>
      <w:proofErr w:type="gramEnd"/>
      <w:r w:rsidR="00AF07FE">
        <w:t xml:space="preserve"> the IAWL requirement </w:t>
      </w:r>
      <w:r w:rsidR="002E2623">
        <w:t xml:space="preserve">while leaving too much discretion to officers in other contexts.  </w:t>
      </w:r>
      <w:r w:rsidR="0060597D">
        <w:t xml:space="preserve">The claimants articulated no </w:t>
      </w:r>
      <w:r w:rsidR="00602BAA">
        <w:t xml:space="preserve">proper grounds for maintaining that there is a connection between </w:t>
      </w:r>
      <w:r w:rsidR="00D26CE5">
        <w:t xml:space="preserve">high </w:t>
      </w:r>
      <w:r w:rsidR="00602BAA">
        <w:t>footfall and</w:t>
      </w:r>
      <w:r w:rsidR="00B42B3C">
        <w:t xml:space="preserve"> </w:t>
      </w:r>
      <w:r w:rsidR="00D26CE5">
        <w:t>th</w:t>
      </w:r>
      <w:r w:rsidR="003F5034">
        <w:t>eir</w:t>
      </w:r>
      <w:r w:rsidR="00D26CE5">
        <w:t xml:space="preserve"> allegation </w:t>
      </w:r>
      <w:proofErr w:type="gramStart"/>
      <w:r w:rsidR="00D26CE5">
        <w:t xml:space="preserve">that </w:t>
      </w:r>
      <w:r w:rsidR="00602BAA">
        <w:t xml:space="preserve"> the</w:t>
      </w:r>
      <w:proofErr w:type="gramEnd"/>
      <w:r w:rsidR="00602BAA">
        <w:t xml:space="preserve"> Policy </w:t>
      </w:r>
      <w:r w:rsidR="00F11E56">
        <w:t>is not</w:t>
      </w:r>
      <w:r w:rsidR="00602BAA">
        <w:t xml:space="preserve"> IAWL.  </w:t>
      </w:r>
      <w:r w:rsidR="006D6A04">
        <w:t xml:space="preserve">  </w:t>
      </w:r>
      <w:r w:rsidR="001811C0">
        <w:t xml:space="preserve">  </w:t>
      </w:r>
      <w:r w:rsidR="00666C47">
        <w:t xml:space="preserve"> </w:t>
      </w:r>
      <w:r w:rsidR="00AD1072">
        <w:t xml:space="preserve"> </w:t>
      </w:r>
    </w:p>
    <w:p w14:paraId="490B0BB6" w14:textId="2804A8B3" w:rsidR="00544F6C" w:rsidRDefault="00544F6C" w:rsidP="002F2079">
      <w:pPr>
        <w:pStyle w:val="Carlo"/>
      </w:pPr>
      <w:r>
        <w:lastRenderedPageBreak/>
        <w:t xml:space="preserve">It is the </w:t>
      </w:r>
      <w:r w:rsidR="00ED7E39">
        <w:t xml:space="preserve">defendant’s </w:t>
      </w:r>
      <w:r>
        <w:t xml:space="preserve">function to formulate policy on LFR deployment.  It is the function of the court, in the exercise of its supervisory jurisdiction, to ensure that the Policy is in accordance with the law.  The court will not rewrite the Policy or compel the MPS to use LFR in any </w:t>
      </w:r>
      <w:proofErr w:type="gramStart"/>
      <w:r>
        <w:t>particular way</w:t>
      </w:r>
      <w:proofErr w:type="gramEnd"/>
      <w:r>
        <w:t xml:space="preserve"> across any </w:t>
      </w:r>
      <w:proofErr w:type="gramStart"/>
      <w:r>
        <w:t>particular area</w:t>
      </w:r>
      <w:proofErr w:type="gramEnd"/>
      <w:r>
        <w:t xml:space="preserve">.  Judicial review is not designed for such a purpose.  To the extent that </w:t>
      </w:r>
      <w:r w:rsidR="00D86F30">
        <w:t>Mr</w:t>
      </w:r>
      <w:r>
        <w:t xml:space="preserve"> Squires relied on Professor Utley’s evidence to impugn the geographical reach of LFR and its use in crowded areas of London, his submissions missed any proper target for judicial review.         </w:t>
      </w:r>
    </w:p>
    <w:p w14:paraId="47CD119E" w14:textId="77777777" w:rsidR="00544F6C" w:rsidRDefault="00544F6C" w:rsidP="002F2079">
      <w:pPr>
        <w:pStyle w:val="Carlo"/>
      </w:pPr>
      <w:r>
        <w:t xml:space="preserve">By virtue of CPR 35.1, the court will restrict expert evidence to “that which is reasonably required to resolve the proceedings.”  In applications for judicial review, the court has no power to resolve anything other than points of public law.  It follows that expert evidence in judicial review proceedings must be reasonably required to resolve a point of public law. Professor Utley’s reports do not assist the court in that endeavour.  The application to rely on Professor Utley’s reports is refused. </w:t>
      </w:r>
    </w:p>
    <w:p w14:paraId="0EE6121B" w14:textId="2A0DBFB2" w:rsidR="00B227BC" w:rsidRDefault="00AA0069" w:rsidP="002F2079">
      <w:pPr>
        <w:pStyle w:val="Carlo"/>
      </w:pPr>
      <w:r>
        <w:t xml:space="preserve">We reiterate this court’s observations in </w:t>
      </w:r>
      <w:r w:rsidR="00B35168" w:rsidRPr="00213990">
        <w:rPr>
          <w:i/>
          <w:iCs/>
        </w:rPr>
        <w:t>R (AB) v Chief Constable of Hampshire</w:t>
      </w:r>
      <w:r w:rsidR="006355D3">
        <w:t xml:space="preserve"> [2019] EWHC 3461 (Admin) (Dame Victoria Sharp P and Lewis J as he then was</w:t>
      </w:r>
      <w:r w:rsidR="007C0379">
        <w:t xml:space="preserve">) </w:t>
      </w:r>
      <w:r w:rsidR="006355D3">
        <w:t>that</w:t>
      </w:r>
      <w:r w:rsidR="00B227BC">
        <w:t>:</w:t>
      </w:r>
      <w:r w:rsidR="00083834">
        <w:t xml:space="preserve"> </w:t>
      </w:r>
    </w:p>
    <w:p w14:paraId="56704F17" w14:textId="7789CEDD" w:rsidR="00AA0069" w:rsidRDefault="00083834" w:rsidP="002F2079">
      <w:pPr>
        <w:pStyle w:val="Quote"/>
      </w:pPr>
      <w:r>
        <w:t>“</w:t>
      </w:r>
      <w:r w:rsidR="007C0379">
        <w:t xml:space="preserve">117. A </w:t>
      </w:r>
      <w:r w:rsidR="00AF0628">
        <w:t xml:space="preserve">claimant needs to give careful thought to </w:t>
      </w:r>
      <w:r w:rsidR="007C0379">
        <w:t xml:space="preserve">attempts to </w:t>
      </w:r>
      <w:r w:rsidR="00AF0628">
        <w:t>rely upon expert evidence in claims for judicial review</w:t>
      </w:r>
      <w:r w:rsidR="00A065EC">
        <w:t>… [I]</w:t>
      </w:r>
      <w:r w:rsidR="00C924A5">
        <w:t xml:space="preserve">t follows from the very nature of a claim for judicial review that expert evidence is rarely reasonably required </w:t>
      </w:r>
      <w:proofErr w:type="gramStart"/>
      <w:r w:rsidR="00C924A5">
        <w:t>in order to</w:t>
      </w:r>
      <w:proofErr w:type="gramEnd"/>
      <w:r w:rsidR="00C924A5">
        <w:t xml:space="preserve"> resolve such a claim.</w:t>
      </w:r>
      <w:r w:rsidR="00B227BC">
        <w:t xml:space="preserve"> </w:t>
      </w:r>
      <w:r w:rsidR="005528A3">
        <w:t xml:space="preserve"> The court will be engaged in determining </w:t>
      </w:r>
      <w:r w:rsidR="00EE594D">
        <w:t xml:space="preserve">whether a particular exercise of public law functions is lawful in public law terms.  </w:t>
      </w:r>
      <w:r w:rsidR="00745B73">
        <w:t>It will not be determining the underlying merits of any course of action.”</w:t>
      </w:r>
      <w:r w:rsidR="00B227BC">
        <w:t xml:space="preserve"> </w:t>
      </w:r>
      <w:r w:rsidR="00C924A5">
        <w:t xml:space="preserve"> </w:t>
      </w:r>
      <w:r w:rsidR="006355D3">
        <w:t xml:space="preserve"> </w:t>
      </w:r>
    </w:p>
    <w:p w14:paraId="2129C5B3" w14:textId="77777777" w:rsidR="00544F6C" w:rsidRPr="0048238E" w:rsidRDefault="00544F6C" w:rsidP="002F2079">
      <w:pPr>
        <w:pStyle w:val="ParaLevel1"/>
        <w:numPr>
          <w:ilvl w:val="0"/>
          <w:numId w:val="0"/>
        </w:numPr>
        <w:ind w:left="142"/>
        <w:rPr>
          <w:b/>
          <w:bCs/>
        </w:rPr>
      </w:pPr>
      <w:r w:rsidRPr="0048238E">
        <w:rPr>
          <w:b/>
          <w:bCs/>
        </w:rPr>
        <w:t>Ms Chiswick’s third witness statement</w:t>
      </w:r>
    </w:p>
    <w:p w14:paraId="5A921BB3" w14:textId="0F90C08D" w:rsidR="00544F6C" w:rsidRDefault="00FC5ABD" w:rsidP="002F2079">
      <w:pPr>
        <w:pStyle w:val="Carlo"/>
      </w:pPr>
      <w:r>
        <w:t>Ms</w:t>
      </w:r>
      <w:r w:rsidR="00544F6C">
        <w:t xml:space="preserve"> Chiswick’s third witness statement responds to Professor Utley’s third report as well as to several points raised by Ms Carlo</w:t>
      </w:r>
      <w:r w:rsidR="00CD6BE7">
        <w:t>’s fifth witness statement</w:t>
      </w:r>
      <w:r w:rsidR="00544F6C">
        <w:t xml:space="preserve">.   As we have said, Ms Chiswick needs the court’s permission to rely on her third statement which we have considered </w:t>
      </w:r>
      <w:r w:rsidR="00544F6C" w:rsidRPr="002D77FA">
        <w:rPr>
          <w:i/>
          <w:iCs/>
        </w:rPr>
        <w:t>de bene esse</w:t>
      </w:r>
      <w:r w:rsidR="00544F6C">
        <w:t xml:space="preserve">.  </w:t>
      </w:r>
    </w:p>
    <w:p w14:paraId="323D7A4B" w14:textId="5C3EA01A" w:rsidR="00544F6C" w:rsidRDefault="00544F6C" w:rsidP="002F2079">
      <w:pPr>
        <w:pStyle w:val="Carlo"/>
      </w:pPr>
      <w:r>
        <w:t xml:space="preserve">We sympathise with Ms Chiswick for feeling the need to respond to Professor Utley and Ms Carlo.  However, the MPS position has always been that </w:t>
      </w:r>
      <w:r w:rsidR="00A94C23">
        <w:t>expert</w:t>
      </w:r>
      <w:r>
        <w:t xml:space="preserve"> evidence is </w:t>
      </w:r>
      <w:proofErr w:type="gramStart"/>
      <w:r>
        <w:t>irrelevant</w:t>
      </w:r>
      <w:proofErr w:type="gramEnd"/>
      <w:r w:rsidR="000F3988">
        <w:t xml:space="preserve"> and we have determined that </w:t>
      </w:r>
      <w:r w:rsidR="00CD6BE7">
        <w:t xml:space="preserve">Ms Carlo’s fifth statement is </w:t>
      </w:r>
      <w:r w:rsidR="006D082E">
        <w:t>irrelevant too</w:t>
      </w:r>
      <w:r>
        <w:t xml:space="preserve">.  The response to irrelevant evidence does not necessarily lie in filing further irrelevant evidence.  As Farbey J said in argument, Professor Utley and Ms Chiswick have engaged in a game of ping pong which has assumed, in each round of shots, a </w:t>
      </w:r>
      <w:r w:rsidR="00673CD7">
        <w:t>“</w:t>
      </w:r>
      <w:r>
        <w:t>momentum</w:t>
      </w:r>
      <w:r w:rsidR="00673CD7">
        <w:t>”</w:t>
      </w:r>
      <w:r>
        <w:t xml:space="preserve"> that is </w:t>
      </w:r>
      <w:proofErr w:type="gramStart"/>
      <w:r>
        <w:t>less and less</w:t>
      </w:r>
      <w:proofErr w:type="gramEnd"/>
      <w:r>
        <w:t xml:space="preserve"> related to the issues in the claim</w:t>
      </w:r>
      <w:r w:rsidR="00825A3F">
        <w:t>.</w:t>
      </w:r>
      <w:r>
        <w:t xml:space="preserve">  Neither party should have engaged in this </w:t>
      </w:r>
      <w:r w:rsidR="00AC70A9">
        <w:t xml:space="preserve">fruitless </w:t>
      </w:r>
      <w:r>
        <w:t>approach.  We refuse, therefore, to admit Ms Chiswick’s third statement</w:t>
      </w:r>
      <w:r w:rsidR="006D082E">
        <w:t xml:space="preserve">. </w:t>
      </w:r>
    </w:p>
    <w:p w14:paraId="416E9BF6" w14:textId="365010B6" w:rsidR="00440B2D" w:rsidRDefault="001F500E" w:rsidP="002F2079">
      <w:pPr>
        <w:pStyle w:val="Carlo"/>
      </w:pPr>
      <w:r>
        <w:t>We now</w:t>
      </w:r>
      <w:r w:rsidR="00EB5630">
        <w:t xml:space="preserve"> </w:t>
      </w:r>
      <w:r w:rsidR="00440B2D">
        <w:t xml:space="preserve">turn to </w:t>
      </w:r>
      <w:r w:rsidR="00A53F4B">
        <w:t xml:space="preserve">the </w:t>
      </w:r>
      <w:r w:rsidR="00440B2D">
        <w:t xml:space="preserve">grounds of challenge. </w:t>
      </w:r>
    </w:p>
    <w:p w14:paraId="00E7645B" w14:textId="43ABF0F8" w:rsidR="00C6493B" w:rsidRPr="00661DE2" w:rsidRDefault="00A53F4B" w:rsidP="002F2079">
      <w:pPr>
        <w:pStyle w:val="ParaLevel1"/>
        <w:numPr>
          <w:ilvl w:val="0"/>
          <w:numId w:val="0"/>
        </w:numPr>
        <w:rPr>
          <w:b/>
          <w:bCs/>
          <w:i/>
          <w:iCs/>
        </w:rPr>
      </w:pPr>
      <w:r>
        <w:rPr>
          <w:b/>
          <w:bCs/>
        </w:rPr>
        <w:t>Grounds of challenge</w:t>
      </w:r>
    </w:p>
    <w:p w14:paraId="7618FD8A" w14:textId="69513C7A" w:rsidR="00651112" w:rsidRDefault="007B437C" w:rsidP="002F2079">
      <w:pPr>
        <w:pStyle w:val="ParaLevel1"/>
      </w:pPr>
      <w:r>
        <w:t>Mr Squires</w:t>
      </w:r>
      <w:r w:rsidR="001F7292">
        <w:t xml:space="preserve">’ </w:t>
      </w:r>
      <w:r w:rsidR="00CA3764">
        <w:t xml:space="preserve">overarching </w:t>
      </w:r>
      <w:r w:rsidR="00694DC3">
        <w:t>contention</w:t>
      </w:r>
      <w:r w:rsidR="00CA3764">
        <w:t xml:space="preserve"> was</w:t>
      </w:r>
      <w:r w:rsidR="00C7773F">
        <w:t xml:space="preserve"> that </w:t>
      </w:r>
      <w:r w:rsidR="00917C4F">
        <w:t xml:space="preserve">the defendant’s ongoing use of LFR under the Policy is not IAWL </w:t>
      </w:r>
      <w:r w:rsidR="006504F7">
        <w:t xml:space="preserve">(under </w:t>
      </w:r>
      <w:r w:rsidR="00FA3D04">
        <w:t>A</w:t>
      </w:r>
      <w:r w:rsidR="006504F7">
        <w:t xml:space="preserve">rticle 8) </w:t>
      </w:r>
      <w:r w:rsidR="00E90166">
        <w:t xml:space="preserve">and not PBL (under </w:t>
      </w:r>
      <w:r w:rsidR="00FA3D04">
        <w:t>A</w:t>
      </w:r>
      <w:r w:rsidR="00E90166">
        <w:t xml:space="preserve">rticles 10 and 11) </w:t>
      </w:r>
      <w:r w:rsidR="00D45E93">
        <w:t xml:space="preserve">because </w:t>
      </w:r>
      <w:r w:rsidR="00917C4F">
        <w:t>it does not sufficiently constrain where the MPS can, in practice, deploy LFR.</w:t>
      </w:r>
      <w:r w:rsidR="003352B5">
        <w:t xml:space="preserve"> </w:t>
      </w:r>
      <w:r w:rsidR="00BD287B">
        <w:t xml:space="preserve">  </w:t>
      </w:r>
      <w:r w:rsidR="00BD287B">
        <w:lastRenderedPageBreak/>
        <w:t xml:space="preserve">As regards the “where” question, </w:t>
      </w:r>
      <w:r w:rsidR="00C0717D">
        <w:t xml:space="preserve">the Policy leaves </w:t>
      </w:r>
      <w:r w:rsidR="00BD287B">
        <w:t xml:space="preserve">too much discretion to individual police officers which was one of the fundamental deficiencies </w:t>
      </w:r>
      <w:r w:rsidR="0079264F">
        <w:t>of the policy considered by the Court of Appeal</w:t>
      </w:r>
      <w:r w:rsidR="00BD287B">
        <w:t xml:space="preserve"> in </w:t>
      </w:r>
      <w:r w:rsidR="00BD287B" w:rsidRPr="00063DE0">
        <w:rPr>
          <w:i/>
          <w:iCs/>
        </w:rPr>
        <w:t>Bridges</w:t>
      </w:r>
      <w:r w:rsidR="0079264F">
        <w:rPr>
          <w:i/>
          <w:iCs/>
        </w:rPr>
        <w:t xml:space="preserve"> </w:t>
      </w:r>
      <w:r w:rsidR="00CE2303">
        <w:t xml:space="preserve">(see </w:t>
      </w:r>
      <w:r w:rsidR="00BD287B">
        <w:t>paras 91 and 121</w:t>
      </w:r>
      <w:r w:rsidR="00CE2303">
        <w:t xml:space="preserve"> of the Court of Appeal’s judgment</w:t>
      </w:r>
      <w:r w:rsidR="00BD287B">
        <w:t xml:space="preserve">). </w:t>
      </w:r>
      <w:r w:rsidR="00D512DE">
        <w:t xml:space="preserve"> </w:t>
      </w:r>
    </w:p>
    <w:p w14:paraId="782BA989" w14:textId="7DC2CB9A" w:rsidR="000925C4" w:rsidRDefault="00651112" w:rsidP="002F2079">
      <w:pPr>
        <w:pStyle w:val="ParaLevel1"/>
      </w:pPr>
      <w:r>
        <w:t xml:space="preserve">As </w:t>
      </w:r>
      <w:r w:rsidR="006A00C7">
        <w:t xml:space="preserve">Mr Squires did not contend that there was any material </w:t>
      </w:r>
      <w:r w:rsidR="00FB2FE4">
        <w:t xml:space="preserve">legal </w:t>
      </w:r>
      <w:r w:rsidR="006A00C7">
        <w:t>distinction</w:t>
      </w:r>
      <w:r w:rsidR="00FB2FE4">
        <w:t xml:space="preserve"> between </w:t>
      </w:r>
      <w:r w:rsidR="006A00C7">
        <w:t xml:space="preserve">IAWL and PBL, we are able to deal with grounds 1 and 2 together.  </w:t>
      </w:r>
      <w:r w:rsidR="00D512DE">
        <w:t xml:space="preserve"> </w:t>
      </w:r>
      <w:r w:rsidR="000451AB">
        <w:t xml:space="preserve"> </w:t>
      </w:r>
    </w:p>
    <w:p w14:paraId="60C7E275" w14:textId="7F831A12" w:rsidR="004E7F75" w:rsidRDefault="000925C4" w:rsidP="002F2079">
      <w:pPr>
        <w:pStyle w:val="ParaLevel1"/>
      </w:pPr>
      <w:r>
        <w:t xml:space="preserve">It is telling that, unlike in </w:t>
      </w:r>
      <w:r w:rsidRPr="00B41982">
        <w:rPr>
          <w:i/>
          <w:iCs/>
        </w:rPr>
        <w:t>Bridges</w:t>
      </w:r>
      <w:r>
        <w:t xml:space="preserve">, Mr Squires suggested no specific safeguards against arbitrariness that are missing from the Policy.  Indeed, many of his submissions were advanced at a high </w:t>
      </w:r>
      <w:r w:rsidR="00553D72">
        <w:t xml:space="preserve">level </w:t>
      </w:r>
      <w:r>
        <w:t xml:space="preserve">of generality and did not properly distinguish between the application of the Policy (which is not the subject of the claim) and </w:t>
      </w:r>
      <w:r w:rsidR="0075093B">
        <w:t>the issue whether it has the quality of law</w:t>
      </w:r>
      <w:r>
        <w:t xml:space="preserve"> (which is).  </w:t>
      </w:r>
    </w:p>
    <w:p w14:paraId="6326813C" w14:textId="39DFFBB3" w:rsidR="00394554" w:rsidRDefault="00F603D6" w:rsidP="002F2079">
      <w:pPr>
        <w:pStyle w:val="ParaLevel1"/>
      </w:pPr>
      <w:r>
        <w:t>Mr Squires</w:t>
      </w:r>
      <w:r w:rsidR="000A75FA">
        <w:t>’ submissions</w:t>
      </w:r>
      <w:r w:rsidR="00E3303D">
        <w:t xml:space="preserve">, </w:t>
      </w:r>
      <w:r w:rsidR="00F22CEE">
        <w:t xml:space="preserve">supported by </w:t>
      </w:r>
      <w:r w:rsidR="00F73042">
        <w:t xml:space="preserve">those of </w:t>
      </w:r>
      <w:r w:rsidR="00F22CEE">
        <w:t>the Commission</w:t>
      </w:r>
      <w:r w:rsidR="00F73042">
        <w:t xml:space="preserve">, </w:t>
      </w:r>
      <w:r w:rsidR="000A75FA">
        <w:t xml:space="preserve">may be </w:t>
      </w:r>
      <w:r w:rsidR="00EB3A56">
        <w:t>discussed</w:t>
      </w:r>
      <w:r w:rsidR="000A75FA">
        <w:t xml:space="preserve"> under </w:t>
      </w:r>
      <w:proofErr w:type="gramStart"/>
      <w:r w:rsidR="00D62585">
        <w:t>a number of</w:t>
      </w:r>
      <w:proofErr w:type="gramEnd"/>
      <w:r w:rsidR="00D62585">
        <w:t xml:space="preserve"> themes.  </w:t>
      </w:r>
      <w:r w:rsidR="00394554">
        <w:t xml:space="preserve"> </w:t>
      </w:r>
    </w:p>
    <w:p w14:paraId="3A86A9B8" w14:textId="6450F881" w:rsidR="00CE4301" w:rsidRPr="00CE4301" w:rsidRDefault="00CE4301" w:rsidP="002F2079">
      <w:pPr>
        <w:pStyle w:val="ParaLevel1"/>
        <w:numPr>
          <w:ilvl w:val="0"/>
          <w:numId w:val="0"/>
        </w:numPr>
        <w:rPr>
          <w:b/>
          <w:bCs/>
          <w:i/>
          <w:iCs/>
        </w:rPr>
      </w:pPr>
      <w:r w:rsidRPr="00CE4301">
        <w:rPr>
          <w:b/>
          <w:bCs/>
          <w:i/>
          <w:iCs/>
        </w:rPr>
        <w:t>Operational experience</w:t>
      </w:r>
    </w:p>
    <w:p w14:paraId="0E1D337E" w14:textId="1FFB3572" w:rsidR="00F030E8" w:rsidRPr="00F030E8" w:rsidRDefault="00F17CDA" w:rsidP="002F2079">
      <w:pPr>
        <w:pStyle w:val="ParaLevel1"/>
      </w:pPr>
      <w:r>
        <w:t>Mr Squires</w:t>
      </w:r>
      <w:r w:rsidR="00B53585">
        <w:t xml:space="preserve"> </w:t>
      </w:r>
      <w:r w:rsidR="00D55E3A">
        <w:t xml:space="preserve">emphasised that, </w:t>
      </w:r>
      <w:r w:rsidR="00902D32">
        <w:t xml:space="preserve">under para </w:t>
      </w:r>
      <w:r w:rsidR="00581CF6">
        <w:t xml:space="preserve">2.3(a), a crime hotspot is defined not only by reference to crime data and </w:t>
      </w:r>
      <w:r w:rsidR="00181F2F">
        <w:t xml:space="preserve">intelligence reporting but also by </w:t>
      </w:r>
      <w:r w:rsidR="00D85B43">
        <w:t>reference</w:t>
      </w:r>
      <w:r w:rsidR="00181F2F">
        <w:t xml:space="preserve"> to </w:t>
      </w:r>
      <w:r w:rsidR="00185A1B">
        <w:t xml:space="preserve">“operational experience as to future criminality” </w:t>
      </w:r>
      <w:r w:rsidR="00BD466D" w:rsidRPr="00F030E8">
        <w:t>(</w:t>
      </w:r>
      <w:r w:rsidR="00755FCC">
        <w:t>para.</w:t>
      </w:r>
      <w:r w:rsidR="00BD466D" w:rsidRPr="00F030E8">
        <w:t>2.3(a))</w:t>
      </w:r>
      <w:r w:rsidR="00181F2F">
        <w:t xml:space="preserve">.  He submitted that the term “operational </w:t>
      </w:r>
      <w:proofErr w:type="gramStart"/>
      <w:r w:rsidR="00181F2F">
        <w:t>experience”</w:t>
      </w:r>
      <w:r w:rsidR="00DE75EE">
        <w:t xml:space="preserve"> </w:t>
      </w:r>
      <w:r w:rsidR="00F852A1">
        <w:t xml:space="preserve"> </w:t>
      </w:r>
      <w:r w:rsidR="00D85B43">
        <w:t>is</w:t>
      </w:r>
      <w:proofErr w:type="gramEnd"/>
      <w:r w:rsidR="00D85B43">
        <w:t xml:space="preserve"> </w:t>
      </w:r>
      <w:r w:rsidR="00C50F46">
        <w:t>too</w:t>
      </w:r>
      <w:r w:rsidR="00F030E8" w:rsidRPr="00F030E8">
        <w:t xml:space="preserve"> opaque and subjective</w:t>
      </w:r>
      <w:r w:rsidR="00C50F46">
        <w:t xml:space="preserve"> to meet the test of foreseeability. </w:t>
      </w:r>
      <w:r w:rsidR="006A61AA">
        <w:t>He submitted that t</w:t>
      </w:r>
      <w:r w:rsidR="00A76F7B">
        <w:t xml:space="preserve">he </w:t>
      </w:r>
      <w:r w:rsidR="00181F2F">
        <w:t>inclusion</w:t>
      </w:r>
      <w:r w:rsidR="002F16F1">
        <w:t xml:space="preserve"> of </w:t>
      </w:r>
      <w:r w:rsidR="001423FA">
        <w:t xml:space="preserve">operational </w:t>
      </w:r>
      <w:r w:rsidR="00181F2F">
        <w:t>experience</w:t>
      </w:r>
      <w:r w:rsidR="00DF41AE">
        <w:t xml:space="preserve"> as</w:t>
      </w:r>
      <w:r w:rsidR="001423FA">
        <w:t xml:space="preserve"> one of several factors </w:t>
      </w:r>
      <w:r w:rsidR="00DF41AE">
        <w:t xml:space="preserve">to be considered in </w:t>
      </w:r>
      <w:r w:rsidR="0046774B">
        <w:t>designat</w:t>
      </w:r>
      <w:r w:rsidR="00760D6C">
        <w:t>ing</w:t>
      </w:r>
      <w:r w:rsidR="0046774B">
        <w:t xml:space="preserve"> </w:t>
      </w:r>
      <w:proofErr w:type="gramStart"/>
      <w:r w:rsidR="0046774B">
        <w:t>a</w:t>
      </w:r>
      <w:proofErr w:type="gramEnd"/>
      <w:r w:rsidR="0046774B">
        <w:t xml:space="preserve"> SGA as a “crime hotspot”</w:t>
      </w:r>
      <w:r w:rsidR="00A614ED">
        <w:t xml:space="preserve"> </w:t>
      </w:r>
      <w:r w:rsidR="00F030E8" w:rsidRPr="00F030E8">
        <w:t>provide</w:t>
      </w:r>
      <w:r w:rsidR="00FC26D2">
        <w:t>s</w:t>
      </w:r>
      <w:r w:rsidR="00F030E8" w:rsidRPr="00F030E8">
        <w:t xml:space="preserve"> to</w:t>
      </w:r>
      <w:r w:rsidR="00765020">
        <w:t>o</w:t>
      </w:r>
      <w:r w:rsidR="00F030E8" w:rsidRPr="00F030E8">
        <w:t xml:space="preserve"> broad a discretion to </w:t>
      </w:r>
      <w:r w:rsidR="009E0212">
        <w:t>indivi</w:t>
      </w:r>
      <w:r w:rsidR="003D71C6">
        <w:t>dual police officers.</w:t>
      </w:r>
      <w:r w:rsidR="00F030E8" w:rsidRPr="00F030E8">
        <w:t xml:space="preserve"> </w:t>
      </w:r>
    </w:p>
    <w:p w14:paraId="54474535" w14:textId="1B301610" w:rsidR="00291097" w:rsidRDefault="0075093B" w:rsidP="002F2079">
      <w:pPr>
        <w:pStyle w:val="ParaLevel1"/>
      </w:pPr>
      <w:r>
        <w:t xml:space="preserve">We disagree. </w:t>
      </w:r>
      <w:r w:rsidR="00AA60D1">
        <w:t xml:space="preserve">The Policy does not refer to “operational experience” in general. </w:t>
      </w:r>
      <w:proofErr w:type="gramStart"/>
      <w:r w:rsidR="00AA60D1">
        <w:t>Instead</w:t>
      </w:r>
      <w:proofErr w:type="gramEnd"/>
      <w:r w:rsidR="00AA60D1">
        <w:t xml:space="preserve"> i</w:t>
      </w:r>
      <w:r w:rsidR="00833588">
        <w:t xml:space="preserve">t requires that the operational experience regarding future criminality </w:t>
      </w:r>
      <w:r w:rsidR="00EB4050">
        <w:t xml:space="preserve">indicates </w:t>
      </w:r>
      <w:r w:rsidR="00025E8F">
        <w:t xml:space="preserve">an area where the crime rate </w:t>
      </w:r>
      <w:r w:rsidR="00606BCD">
        <w:t>and /or the rate at which it is rising</w:t>
      </w:r>
      <w:r w:rsidR="000F1D1D">
        <w:t xml:space="preserve"> is assessed to be in the upper quartile for the relevant BCU/OCU.</w:t>
      </w:r>
      <w:r w:rsidR="00AE3596">
        <w:t xml:space="preserve"> The criterion is specific. The same is true where “operational experience” is referred to elsewhere in the Policy, </w:t>
      </w:r>
      <w:r w:rsidR="002F0121">
        <w:t>for example</w:t>
      </w:r>
      <w:r w:rsidR="00AE3596">
        <w:t xml:space="preserve"> para</w:t>
      </w:r>
      <w:r w:rsidR="00356C6D">
        <w:t>s</w:t>
      </w:r>
      <w:r w:rsidR="00AE3596">
        <w:t>.2.3(b)</w:t>
      </w:r>
      <w:r w:rsidR="00356C6D">
        <w:t xml:space="preserve"> and 2.6</w:t>
      </w:r>
      <w:r w:rsidR="00AE3596">
        <w:t xml:space="preserve"> </w:t>
      </w:r>
      <w:r w:rsidR="002F0121">
        <w:t>under</w:t>
      </w:r>
      <w:r w:rsidR="00AE3596">
        <w:t xml:space="preserve"> Use Case A</w:t>
      </w:r>
      <w:r w:rsidR="005937F1">
        <w:t xml:space="preserve"> (repeated in Annex A)</w:t>
      </w:r>
      <w:r w:rsidR="0016089A">
        <w:t>,</w:t>
      </w:r>
    </w:p>
    <w:p w14:paraId="3EC1A047" w14:textId="6ED3F412" w:rsidR="004E7F75" w:rsidRDefault="004E7F75" w:rsidP="002F2079">
      <w:pPr>
        <w:pStyle w:val="ParaLevel1"/>
      </w:pPr>
      <w:r>
        <w:t xml:space="preserve">Ms Proops submitted that </w:t>
      </w:r>
      <w:r w:rsidR="00667D9B">
        <w:t xml:space="preserve">the term “operational experience” refers to the MPS’s </w:t>
      </w:r>
      <w:r w:rsidR="007B7DB5">
        <w:t xml:space="preserve">specialist </w:t>
      </w:r>
      <w:r w:rsidR="00667D9B">
        <w:t xml:space="preserve">corporate experience of </w:t>
      </w:r>
      <w:r w:rsidR="00154245">
        <w:t xml:space="preserve">London policing and so was easily distinguishable from the whim or caprice of individual officers </w:t>
      </w:r>
      <w:r w:rsidR="00E21FF3">
        <w:t>that</w:t>
      </w:r>
      <w:r w:rsidR="00154245">
        <w:t xml:space="preserve"> the IAWL </w:t>
      </w:r>
      <w:r w:rsidR="00E21FF3">
        <w:t>requirement</w:t>
      </w:r>
      <w:r w:rsidR="00463485">
        <w:t xml:space="preserve"> was designed to guard against.</w:t>
      </w:r>
      <w:r w:rsidR="00FC1AA6">
        <w:t xml:space="preserve">  She submitted that the public would expect the police to apply its specialist operational knowledge and judgment in selecting a crime hotspot for an LFR deployment.  </w:t>
      </w:r>
      <w:r w:rsidR="00E21FF3">
        <w:t xml:space="preserve">The application of corporate experience to decision-making </w:t>
      </w:r>
      <w:r w:rsidR="0004299E">
        <w:t>guard</w:t>
      </w:r>
      <w:r w:rsidR="00946836">
        <w:t>s</w:t>
      </w:r>
      <w:r w:rsidR="0004299E">
        <w:t xml:space="preserve"> against rigid decision-making and the fettering of discretion.</w:t>
      </w:r>
      <w:r w:rsidR="00A301B8">
        <w:t xml:space="preserve">  </w:t>
      </w:r>
      <w:r w:rsidR="00791123">
        <w:t xml:space="preserve">The application of specialist judgment ensures that decision-making is not capricious.  </w:t>
      </w:r>
      <w:r w:rsidR="00463485">
        <w:t xml:space="preserve">  </w:t>
      </w:r>
      <w:r>
        <w:t xml:space="preserve"> </w:t>
      </w:r>
    </w:p>
    <w:p w14:paraId="42717DFE" w14:textId="0D744096" w:rsidR="00FD1269" w:rsidRDefault="002B1110" w:rsidP="002F2079">
      <w:pPr>
        <w:pStyle w:val="ParaLevel1"/>
      </w:pPr>
      <w:r>
        <w:t>We agree with Ms Proops.</w:t>
      </w:r>
      <w:r w:rsidR="00BC2BFC">
        <w:t xml:space="preserve"> In their proper context, the words “operational experience” </w:t>
      </w:r>
      <w:proofErr w:type="gramStart"/>
      <w:r w:rsidR="00BC2BFC">
        <w:t>are</w:t>
      </w:r>
      <w:proofErr w:type="gramEnd"/>
      <w:r w:rsidR="00BC2BFC">
        <w:t xml:space="preserve"> not vague.</w:t>
      </w:r>
      <w:r w:rsidR="009D753D">
        <w:t xml:space="preserve">  They reflect evidence-based judgments made about individual SGAs. </w:t>
      </w:r>
      <w:r>
        <w:t>T</w:t>
      </w:r>
      <w:r w:rsidR="002456F6">
        <w:t>he</w:t>
      </w:r>
      <w:r w:rsidR="00BC2BFC">
        <w:t xml:space="preserve">y </w:t>
      </w:r>
      <w:r w:rsidR="009A286D">
        <w:t xml:space="preserve">capture the specialist </w:t>
      </w:r>
      <w:r w:rsidR="00AD1142">
        <w:t xml:space="preserve">and corporate </w:t>
      </w:r>
      <w:r w:rsidR="009A286D">
        <w:t>knowledge of the defendant and his officers who have functional and constitutional responsibility for policing London.</w:t>
      </w:r>
      <w:r w:rsidR="00A301B8">
        <w:t xml:space="preserve">  </w:t>
      </w:r>
      <w:r w:rsidR="00FD1269">
        <w:t>They are readily comprehensible</w:t>
      </w:r>
      <w:r w:rsidR="009651DB">
        <w:t>.</w:t>
      </w:r>
    </w:p>
    <w:p w14:paraId="3E7C36F0" w14:textId="0F6218CC" w:rsidR="000A14B8" w:rsidRDefault="00FD1269" w:rsidP="002F2079">
      <w:pPr>
        <w:pStyle w:val="ParaLevel1"/>
      </w:pPr>
      <w:r>
        <w:t>To the extent that the claimants demand further detail, w</w:t>
      </w:r>
      <w:r w:rsidR="000A14B8">
        <w:t xml:space="preserve">e have been directed to no authority for the proposition that, in the context of policing, the claimants are entitled </w:t>
      </w:r>
      <w:r w:rsidR="000A14B8">
        <w:lastRenderedPageBreak/>
        <w:t>to be given a breakdown of the sort of operational judgments that may cause the MPS to select one location rather than another.  It would be unworkable (and unrealistic) for the Policy to “provide for every eventuality” by spelling out the multifactorial ways in which operational experience may be brought to bear (</w:t>
      </w:r>
      <w:r w:rsidR="000A14B8" w:rsidRPr="00C4343A">
        <w:rPr>
          <w:i/>
          <w:iCs/>
        </w:rPr>
        <w:t>Gillan</w:t>
      </w:r>
      <w:r w:rsidR="000A14B8">
        <w:t xml:space="preserve"> at [77] quoted at </w:t>
      </w:r>
      <w:r w:rsidR="00295842">
        <w:t>[</w:t>
      </w:r>
      <w:r w:rsidR="000A14B8">
        <w:t>5</w:t>
      </w:r>
      <w:r w:rsidR="00315A5F">
        <w:t>5</w:t>
      </w:r>
      <w:r w:rsidR="00295842">
        <w:t>]</w:t>
      </w:r>
      <w:r w:rsidR="000A14B8">
        <w:t xml:space="preserve"> above).  </w:t>
      </w:r>
    </w:p>
    <w:p w14:paraId="0C77B175" w14:textId="2BD4CDAD" w:rsidR="00590C97" w:rsidRDefault="00590C97" w:rsidP="002F2079">
      <w:pPr>
        <w:pStyle w:val="ParaLevel1"/>
      </w:pPr>
      <w:r>
        <w:t xml:space="preserve">It is not realistic to maintain that the MPS should </w:t>
      </w:r>
      <w:r w:rsidR="0042799C">
        <w:t>disregard</w:t>
      </w:r>
      <w:r>
        <w:t xml:space="preserve"> its operational experience when making decisions about where its resources are to be used, and where not.  As Ms Proops submitted, in the context of law and order, the public can expect the defendant to ensure that MPS operational experience is not ignored.   </w:t>
      </w:r>
    </w:p>
    <w:p w14:paraId="575EEF80" w14:textId="20977A0D" w:rsidR="00093392" w:rsidRDefault="000A19FB" w:rsidP="002F2079">
      <w:pPr>
        <w:pStyle w:val="ParaLevel1"/>
      </w:pPr>
      <w:r>
        <w:t xml:space="preserve">This sort of experience is a far cry from </w:t>
      </w:r>
      <w:r w:rsidR="00062D3C">
        <w:t xml:space="preserve">the “hunch” or “professional intuition” of an individual officer </w:t>
      </w:r>
      <w:r w:rsidR="00967F09">
        <w:t xml:space="preserve">which </w:t>
      </w:r>
      <w:r w:rsidR="00062D3C">
        <w:t>concerned the ECtHR</w:t>
      </w:r>
      <w:r w:rsidR="00332D52">
        <w:t xml:space="preserve"> in </w:t>
      </w:r>
      <w:r w:rsidR="00332D52" w:rsidRPr="00332D52">
        <w:rPr>
          <w:i/>
          <w:iCs/>
        </w:rPr>
        <w:t>Gillan</w:t>
      </w:r>
      <w:r w:rsidR="00FF3A32">
        <w:t xml:space="preserve">, or the </w:t>
      </w:r>
      <w:r w:rsidR="00E01C5A">
        <w:t>“</w:t>
      </w:r>
      <w:r w:rsidR="00FF3A32">
        <w:t>whim</w:t>
      </w:r>
      <w:r w:rsidR="00E01C5A">
        <w:t>”</w:t>
      </w:r>
      <w:r w:rsidR="00FF3A32">
        <w:t xml:space="preserve"> and </w:t>
      </w:r>
      <w:r w:rsidR="00E01C5A">
        <w:t>“</w:t>
      </w:r>
      <w:r w:rsidR="00FF3A32">
        <w:t>caprice</w:t>
      </w:r>
      <w:r w:rsidR="00E01C5A">
        <w:t>”</w:t>
      </w:r>
      <w:r w:rsidR="00FF3A32">
        <w:t xml:space="preserve"> </w:t>
      </w:r>
      <w:r w:rsidR="00E01C5A">
        <w:t>which</w:t>
      </w:r>
      <w:r w:rsidR="00FF3A32">
        <w:t xml:space="preserve"> concerned Lord Bingham</w:t>
      </w:r>
      <w:r w:rsidR="003C5983">
        <w:t>.  T</w:t>
      </w:r>
      <w:r w:rsidR="001E1237">
        <w:t xml:space="preserve">he </w:t>
      </w:r>
      <w:r w:rsidR="00F1070A">
        <w:t xml:space="preserve">requirement of </w:t>
      </w:r>
      <w:r w:rsidR="001E1237">
        <w:t>foreseeability</w:t>
      </w:r>
      <w:r w:rsidR="00F1070A">
        <w:t xml:space="preserve"> is met</w:t>
      </w:r>
      <w:r w:rsidR="001E1237">
        <w:t>.</w:t>
      </w:r>
      <w:r w:rsidR="00A419C4" w:rsidRPr="00A419C4">
        <w:t xml:space="preserve"> </w:t>
      </w:r>
    </w:p>
    <w:p w14:paraId="62B1C491" w14:textId="1C58164F" w:rsidR="00B44D97" w:rsidRPr="00B44D97" w:rsidRDefault="00E91385" w:rsidP="002F2079">
      <w:pPr>
        <w:pStyle w:val="ParaLevel1"/>
        <w:numPr>
          <w:ilvl w:val="0"/>
          <w:numId w:val="0"/>
        </w:numPr>
        <w:rPr>
          <w:b/>
          <w:bCs/>
          <w:i/>
          <w:iCs/>
        </w:rPr>
      </w:pPr>
      <w:r>
        <w:rPr>
          <w:b/>
          <w:bCs/>
          <w:i/>
          <w:iCs/>
        </w:rPr>
        <w:t>The</w:t>
      </w:r>
      <w:r w:rsidR="00335954">
        <w:rPr>
          <w:b/>
          <w:bCs/>
          <w:i/>
          <w:iCs/>
        </w:rPr>
        <w:t xml:space="preserve"> repeat</w:t>
      </w:r>
      <w:r>
        <w:rPr>
          <w:b/>
          <w:bCs/>
          <w:i/>
          <w:iCs/>
        </w:rPr>
        <w:t xml:space="preserve"> use of w</w:t>
      </w:r>
      <w:r w:rsidR="00B44D97" w:rsidRPr="00B44D97">
        <w:rPr>
          <w:b/>
          <w:bCs/>
          <w:i/>
          <w:iCs/>
        </w:rPr>
        <w:t>atchlists</w:t>
      </w:r>
    </w:p>
    <w:p w14:paraId="00EBCC32" w14:textId="7A83A8BB" w:rsidR="00CE1D83" w:rsidRDefault="00A122D2" w:rsidP="002F2079">
      <w:pPr>
        <w:pStyle w:val="ParaLevel1"/>
      </w:pPr>
      <w:r>
        <w:t xml:space="preserve">Mr Squires </w:t>
      </w:r>
      <w:r w:rsidR="00F205DD">
        <w:t xml:space="preserve">sought to impugn the legality of the Policy on the grounds that </w:t>
      </w:r>
      <w:r>
        <w:t xml:space="preserve">the MPS has used the same watchlist on more than on occasion.  </w:t>
      </w:r>
      <w:r w:rsidR="00CE1D83">
        <w:t xml:space="preserve">Referring to the </w:t>
      </w:r>
      <w:r w:rsidR="00BA0EC1">
        <w:t>list of watchlists on the</w:t>
      </w:r>
      <w:r w:rsidR="00CE1D83">
        <w:t xml:space="preserve"> </w:t>
      </w:r>
      <w:r w:rsidR="00191EA9">
        <w:t>S</w:t>
      </w:r>
      <w:r w:rsidR="00CE1D83">
        <w:t xml:space="preserve">chedule of MPS Deployments from April 2023 to 31 December 2024, </w:t>
      </w:r>
      <w:r w:rsidR="00751B78">
        <w:t>he</w:t>
      </w:r>
      <w:r w:rsidR="00CE1D83">
        <w:t xml:space="preserve"> </w:t>
      </w:r>
      <w:r w:rsidR="000724EF">
        <w:t xml:space="preserve">asked us to infer that </w:t>
      </w:r>
      <w:r w:rsidR="00F205DD">
        <w:t>the same</w:t>
      </w:r>
      <w:r w:rsidR="00CE1D83">
        <w:t xml:space="preserve"> watchlist</w:t>
      </w:r>
      <w:r w:rsidR="00680D80">
        <w:t xml:space="preserve">s are </w:t>
      </w:r>
      <w:r w:rsidR="00CE1D83">
        <w:t xml:space="preserve">deployed in different locations.  This was </w:t>
      </w:r>
      <w:r w:rsidR="000B52ED">
        <w:t xml:space="preserve">(he submitted) </w:t>
      </w:r>
      <w:r w:rsidR="00CE1D83">
        <w:t xml:space="preserve">powerful evidence that LFR cameras </w:t>
      </w:r>
      <w:r w:rsidR="00FE5E3E">
        <w:t>were</w:t>
      </w:r>
      <w:r w:rsidR="00CE1D83">
        <w:t xml:space="preserve"> deployed in arbitrary locations in the hope that someone on a watchlist would come past.</w:t>
      </w:r>
    </w:p>
    <w:p w14:paraId="29755E7F" w14:textId="068B61DE" w:rsidR="00AC0004" w:rsidRDefault="00C46D4A" w:rsidP="002F2079">
      <w:pPr>
        <w:pStyle w:val="ParaLevel1"/>
      </w:pPr>
      <w:r>
        <w:t xml:space="preserve">The </w:t>
      </w:r>
      <w:r w:rsidR="00F80995">
        <w:t xml:space="preserve">Schedule </w:t>
      </w:r>
      <w:r w:rsidR="00723C64">
        <w:t xml:space="preserve">shows that, in 2023 and 2024, the MPS used watchlists </w:t>
      </w:r>
      <w:r>
        <w:t xml:space="preserve">that each contained between </w:t>
      </w:r>
      <w:r w:rsidR="000A2C3E">
        <w:t xml:space="preserve">around </w:t>
      </w:r>
      <w:r>
        <w:t>1</w:t>
      </w:r>
      <w:r w:rsidR="00F80995">
        <w:t xml:space="preserve">0,000 and 17,000 </w:t>
      </w:r>
      <w:r>
        <w:t xml:space="preserve">names.  </w:t>
      </w:r>
      <w:r w:rsidR="000A5379">
        <w:t>We agree that the</w:t>
      </w:r>
      <w:r w:rsidR="00412E06">
        <w:t>se</w:t>
      </w:r>
      <w:r w:rsidR="000A5379">
        <w:t xml:space="preserve"> </w:t>
      </w:r>
      <w:r w:rsidR="0068492B">
        <w:t xml:space="preserve">very large </w:t>
      </w:r>
      <w:r w:rsidR="008543D5">
        <w:t>numbers</w:t>
      </w:r>
      <w:r w:rsidR="0068492B">
        <w:t xml:space="preserve"> </w:t>
      </w:r>
      <w:r w:rsidR="00412E06">
        <w:t xml:space="preserve">mean that the inclusion of two </w:t>
      </w:r>
      <w:proofErr w:type="gramStart"/>
      <w:r w:rsidR="00412E06">
        <w:t>identically-sized</w:t>
      </w:r>
      <w:proofErr w:type="gramEnd"/>
      <w:r w:rsidR="00412E06">
        <w:t xml:space="preserve"> watchlists </w:t>
      </w:r>
      <w:r w:rsidR="008679BC">
        <w:t>is not easily explicable as coincidence</w:t>
      </w:r>
      <w:r w:rsidR="00890033">
        <w:t xml:space="preserve"> and that, i</w:t>
      </w:r>
      <w:r w:rsidR="005A1038">
        <w:t>f</w:t>
      </w:r>
      <w:r w:rsidR="00CC64C8">
        <w:t xml:space="preserve"> two watchlists </w:t>
      </w:r>
      <w:r w:rsidR="00C94FF8">
        <w:t xml:space="preserve">are precisely the same size, </w:t>
      </w:r>
      <w:r w:rsidR="00CC64C8">
        <w:t xml:space="preserve">the same watchlist </w:t>
      </w:r>
      <w:r w:rsidR="00890033">
        <w:t xml:space="preserve">may have </w:t>
      </w:r>
      <w:r w:rsidR="00CC64C8">
        <w:t>been used twice</w:t>
      </w:r>
      <w:r w:rsidR="0075093B">
        <w:t xml:space="preserve"> for different locations</w:t>
      </w:r>
      <w:r w:rsidR="00CC64C8">
        <w:t xml:space="preserve">.  </w:t>
      </w:r>
    </w:p>
    <w:p w14:paraId="21AC933E" w14:textId="41D5DC1E" w:rsidR="001B29E9" w:rsidRDefault="005610F6" w:rsidP="002F2079">
      <w:pPr>
        <w:pStyle w:val="ParaLevel1"/>
      </w:pPr>
      <w:r>
        <w:t xml:space="preserve">However, we </w:t>
      </w:r>
      <w:proofErr w:type="gramStart"/>
      <w:r>
        <w:t>are not in a position to</w:t>
      </w:r>
      <w:proofErr w:type="gramEnd"/>
      <w:r>
        <w:t xml:space="preserve"> reach any conclusion of public law about repeat us</w:t>
      </w:r>
      <w:r w:rsidR="004756C5">
        <w:t>e</w:t>
      </w:r>
      <w:r>
        <w:t xml:space="preserve"> because </w:t>
      </w:r>
      <w:r w:rsidR="00085A43">
        <w:t>the claim has not been p</w:t>
      </w:r>
      <w:r w:rsidR="004301F2">
        <w:t xml:space="preserve">leaded or prepared </w:t>
      </w:r>
      <w:r w:rsidR="00085A43">
        <w:t>in such a way that that we could reliably do so.</w:t>
      </w:r>
      <w:r w:rsidR="00D11A75">
        <w:t xml:space="preserve">  </w:t>
      </w:r>
      <w:r w:rsidR="0095173B">
        <w:t xml:space="preserve">The </w:t>
      </w:r>
      <w:r w:rsidR="00E73529">
        <w:t>repeat</w:t>
      </w:r>
      <w:r w:rsidR="0095173B">
        <w:t xml:space="preserve"> us</w:t>
      </w:r>
      <w:r w:rsidR="00C04D52">
        <w:t>e of some watchlists,</w:t>
      </w:r>
      <w:r w:rsidR="0095173B">
        <w:t xml:space="preserve"> </w:t>
      </w:r>
      <w:r w:rsidR="00E73529">
        <w:t xml:space="preserve">which the Schedule appears to </w:t>
      </w:r>
      <w:r w:rsidR="008649F4">
        <w:t>show</w:t>
      </w:r>
      <w:r w:rsidR="00C04D52">
        <w:t>,</w:t>
      </w:r>
      <w:r w:rsidR="008649F4">
        <w:t xml:space="preserve"> </w:t>
      </w:r>
      <w:r w:rsidR="004135B6">
        <w:t>does not advance the claimants’ legal analysis of IAWL or PBL.</w:t>
      </w:r>
      <w:r w:rsidR="0075093B">
        <w:t xml:space="preserve"> In so far as the point has any force, it would </w:t>
      </w:r>
      <w:r w:rsidR="00460F13">
        <w:t xml:space="preserve">be relevant </w:t>
      </w:r>
      <w:r w:rsidR="0075093B">
        <w:t>to the application of the Policy and not whether the Policy has the quality of law.</w:t>
      </w:r>
    </w:p>
    <w:p w14:paraId="49939295" w14:textId="651619A5" w:rsidR="00B44D97" w:rsidRPr="00B44D97" w:rsidRDefault="00B44D97" w:rsidP="002F2079">
      <w:pPr>
        <w:pStyle w:val="ParaLevel1"/>
        <w:numPr>
          <w:ilvl w:val="0"/>
          <w:numId w:val="0"/>
        </w:numPr>
        <w:rPr>
          <w:b/>
          <w:bCs/>
          <w:i/>
          <w:iCs/>
        </w:rPr>
      </w:pPr>
      <w:r w:rsidRPr="00B44D97">
        <w:rPr>
          <w:b/>
          <w:bCs/>
          <w:i/>
          <w:iCs/>
        </w:rPr>
        <w:t>Intrusiveness</w:t>
      </w:r>
    </w:p>
    <w:p w14:paraId="4B261EDC" w14:textId="77777777" w:rsidR="001F3939" w:rsidRDefault="009C38BC" w:rsidP="002F2079">
      <w:pPr>
        <w:pStyle w:val="ParaLevel1"/>
      </w:pPr>
      <w:r>
        <w:t xml:space="preserve">It is not in dispute that the court should adopt the “relativist approach”, accepted by the Court of Appeal in </w:t>
      </w:r>
      <w:r w:rsidRPr="00C039CB">
        <w:rPr>
          <w:i/>
          <w:iCs/>
        </w:rPr>
        <w:t>Bridges</w:t>
      </w:r>
      <w:r>
        <w:t xml:space="preserve">, that the more intrusive the act complained of, the more precise and specific must be the law said to justify it.  </w:t>
      </w:r>
      <w:r w:rsidR="00C039CB">
        <w:t xml:space="preserve">The Court of Appeal in </w:t>
      </w:r>
      <w:r w:rsidR="00C039CB" w:rsidRPr="004F148C">
        <w:rPr>
          <w:i/>
          <w:iCs/>
        </w:rPr>
        <w:t>Bridges</w:t>
      </w:r>
      <w:r w:rsidR="004F148C">
        <w:t xml:space="preserve"> at [7</w:t>
      </w:r>
      <w:r w:rsidR="00A6399A">
        <w:t>7</w:t>
      </w:r>
      <w:r w:rsidR="004F148C">
        <w:t xml:space="preserve">] contrasted information obtained from LFR with </w:t>
      </w:r>
      <w:r w:rsidR="005763DE">
        <w:t xml:space="preserve">information obtained by intrusive techniques such as </w:t>
      </w:r>
      <w:r w:rsidR="00F84F24">
        <w:t>bugging or DNA sampling.</w:t>
      </w:r>
      <w:r w:rsidR="002743F9">
        <w:t xml:space="preserve">  </w:t>
      </w:r>
    </w:p>
    <w:p w14:paraId="781A2F2C" w14:textId="4C2A90C4" w:rsidR="00FE0851" w:rsidRDefault="00A203C8" w:rsidP="002F2079">
      <w:pPr>
        <w:pStyle w:val="ParaLevel1"/>
      </w:pPr>
      <w:r>
        <w:t>In their written submissions on behalf of the Commission, Ms</w:t>
      </w:r>
      <w:r w:rsidR="008F2E4F">
        <w:t xml:space="preserve"> </w:t>
      </w:r>
      <w:r w:rsidR="00BD454D">
        <w:t xml:space="preserve">Dee </w:t>
      </w:r>
      <w:r w:rsidR="008F2E4F">
        <w:t xml:space="preserve">Masters and Mr Joshua Jackson urged us to </w:t>
      </w:r>
      <w:r w:rsidR="00091886">
        <w:t>undertake a reappraisal of intrusiveness</w:t>
      </w:r>
      <w:r w:rsidR="005D62AF">
        <w:t xml:space="preserve"> in light </w:t>
      </w:r>
      <w:proofErr w:type="gramStart"/>
      <w:r w:rsidR="005D62AF">
        <w:t xml:space="preserve">of </w:t>
      </w:r>
      <w:r w:rsidR="00624C20">
        <w:t xml:space="preserve"> </w:t>
      </w:r>
      <w:r w:rsidR="00F609BE">
        <w:t>technological</w:t>
      </w:r>
      <w:proofErr w:type="gramEnd"/>
      <w:r w:rsidR="00F609BE">
        <w:t xml:space="preserve"> developments since </w:t>
      </w:r>
      <w:r w:rsidR="00F609BE" w:rsidRPr="007732C4">
        <w:rPr>
          <w:i/>
          <w:iCs/>
        </w:rPr>
        <w:t>Bridges</w:t>
      </w:r>
      <w:r w:rsidR="00F609BE">
        <w:t xml:space="preserve"> was decided. </w:t>
      </w:r>
      <w:r w:rsidR="00F62595">
        <w:t xml:space="preserve">They submitted that LFR enables “mass surveillance” </w:t>
      </w:r>
      <w:r w:rsidR="00A716E9">
        <w:t xml:space="preserve">and the processing of “sensitive” personal data within the meaning of section </w:t>
      </w:r>
      <w:r w:rsidR="00043657">
        <w:t xml:space="preserve">35(8) of the Data Protection Act 2018.  </w:t>
      </w:r>
      <w:r w:rsidR="008B7463">
        <w:t xml:space="preserve">Personal data of many thousands of people is </w:t>
      </w:r>
      <w:r w:rsidR="00215CFC">
        <w:t xml:space="preserve">processed in a penetrating way by the creation and use of </w:t>
      </w:r>
      <w:r w:rsidR="00215CFC">
        <w:lastRenderedPageBreak/>
        <w:t>biometric template</w:t>
      </w:r>
      <w:r w:rsidR="008F3D74">
        <w:t>s</w:t>
      </w:r>
      <w:r w:rsidR="005D3E57">
        <w:t xml:space="preserve"> which are extracted and rapidly compared to a watchlist. </w:t>
      </w:r>
      <w:r w:rsidR="00BF6C29">
        <w:t>The consequences of errors are significant, as Mr Thompson’s experience show</w:t>
      </w:r>
      <w:r w:rsidR="00160332">
        <w:t>s</w:t>
      </w:r>
      <w:r w:rsidR="00BF6C29">
        <w:t xml:space="preserve">.  </w:t>
      </w:r>
      <w:r w:rsidR="00125DB2">
        <w:t>Ms Masters and Mr Jackson submitted that t</w:t>
      </w:r>
      <w:r w:rsidR="00AA0EAE">
        <w:t xml:space="preserve">he context was often public protest and the expression of political opinion which </w:t>
      </w:r>
      <w:r w:rsidR="00125DB2">
        <w:t xml:space="preserve">should </w:t>
      </w:r>
      <w:r w:rsidR="00582312">
        <w:t xml:space="preserve">be </w:t>
      </w:r>
      <w:r w:rsidR="00FE0851">
        <w:t>protected from any chilling effect</w:t>
      </w:r>
      <w:r w:rsidR="00122BA4">
        <w:t>s</w:t>
      </w:r>
      <w:r w:rsidR="00FE0851">
        <w:t xml:space="preserve">. </w:t>
      </w:r>
    </w:p>
    <w:p w14:paraId="270568A5" w14:textId="367F9EE2" w:rsidR="001D2CC2" w:rsidRDefault="00B307C2" w:rsidP="002F2079">
      <w:pPr>
        <w:pStyle w:val="ParaLevel1"/>
      </w:pPr>
      <w:r>
        <w:t xml:space="preserve">On the evidence before us – which must underlie our conclusions about intrusiveness – we are not persuaded that the </w:t>
      </w:r>
      <w:r w:rsidR="001727A3">
        <w:t xml:space="preserve">technology or any other material factor has changed significantly since </w:t>
      </w:r>
      <w:r w:rsidR="001727A3" w:rsidRPr="00C72E54">
        <w:rPr>
          <w:i/>
          <w:iCs/>
        </w:rPr>
        <w:t>Bridges</w:t>
      </w:r>
      <w:r w:rsidR="001727A3">
        <w:t>.</w:t>
      </w:r>
      <w:r w:rsidR="00AD1399">
        <w:t xml:space="preserve"> </w:t>
      </w:r>
      <w:r w:rsidR="00EA4E6E">
        <w:t xml:space="preserve">As the Divisional Court </w:t>
      </w:r>
      <w:r w:rsidR="009015F3">
        <w:t xml:space="preserve">in </w:t>
      </w:r>
      <w:r w:rsidR="009015F3" w:rsidRPr="009015F3">
        <w:rPr>
          <w:i/>
          <w:iCs/>
        </w:rPr>
        <w:t>Bridges</w:t>
      </w:r>
      <w:r w:rsidR="009015F3">
        <w:t xml:space="preserve"> </w:t>
      </w:r>
      <w:r w:rsidR="00EA4E6E">
        <w:t>observed at</w:t>
      </w:r>
      <w:r w:rsidR="009015F3">
        <w:t xml:space="preserve"> [75], </w:t>
      </w:r>
      <w:r w:rsidR="008E6709">
        <w:t>LFR</w:t>
      </w:r>
      <w:r w:rsidR="009B5935">
        <w:t xml:space="preserve"> </w:t>
      </w:r>
      <w:r w:rsidR="000C29B9">
        <w:t xml:space="preserve">simply </w:t>
      </w:r>
      <w:r w:rsidR="009B5935">
        <w:t>involves taking a photograph of a person’s face (along with others), conversion to biometric data and the use of algorithms to attempt to match it with the data for the faces of persons on a watchlist.</w:t>
      </w:r>
      <w:r w:rsidR="00816BE7">
        <w:t xml:space="preserve">  No physical entry, contact or force is needed when using LFR to obtain biometric data</w:t>
      </w:r>
      <w:r w:rsidR="000C29B9">
        <w:t xml:space="preserve">. The </w:t>
      </w:r>
      <w:r w:rsidR="003C714E">
        <w:t xml:space="preserve">Court of Appeal </w:t>
      </w:r>
      <w:proofErr w:type="gramStart"/>
      <w:r w:rsidR="003C714E">
        <w:t>stated</w:t>
      </w:r>
      <w:r w:rsidR="00576923">
        <w:t xml:space="preserve"> </w:t>
      </w:r>
      <w:r w:rsidR="003C714E">
        <w:t xml:space="preserve"> that</w:t>
      </w:r>
      <w:proofErr w:type="gramEnd"/>
      <w:r w:rsidR="003C714E">
        <w:t xml:space="preserve"> </w:t>
      </w:r>
      <w:r w:rsidR="0070462B">
        <w:t xml:space="preserve">LFR information is not obtained by any intrusive technique </w:t>
      </w:r>
      <w:r w:rsidR="00576923">
        <w:t>s</w:t>
      </w:r>
      <w:r w:rsidR="00EC09AD">
        <w:t>uch as buggin</w:t>
      </w:r>
      <w:r w:rsidR="00576923">
        <w:t>g</w:t>
      </w:r>
      <w:r w:rsidR="00EC09AD">
        <w:t xml:space="preserve"> or DNA sampling</w:t>
      </w:r>
      <w:r w:rsidR="005B66E6">
        <w:t xml:space="preserve"> whilst recognising that the use of the biometric data is more intrusive than </w:t>
      </w:r>
      <w:r w:rsidR="00996E6E">
        <w:t xml:space="preserve">simply </w:t>
      </w:r>
      <w:r w:rsidR="005B66E6">
        <w:t>capturing images on CCTV ([77] and [85]).</w:t>
      </w:r>
    </w:p>
    <w:p w14:paraId="7130D454" w14:textId="597998C4" w:rsidR="004966A5" w:rsidRDefault="00B53FD3" w:rsidP="002F2079">
      <w:pPr>
        <w:pStyle w:val="ParaLevel1"/>
      </w:pPr>
      <w:r>
        <w:t>T</w:t>
      </w:r>
      <w:r w:rsidR="00C16BDB">
        <w:t>he Commission emphasises</w:t>
      </w:r>
      <w:r w:rsidR="00B56B98">
        <w:t xml:space="preserve"> that </w:t>
      </w:r>
      <w:r w:rsidR="00642BE6">
        <w:t xml:space="preserve">the world has seen the rapid development </w:t>
      </w:r>
      <w:r w:rsidR="002A4F53">
        <w:t xml:space="preserve">of artificial intelligence </w:t>
      </w:r>
      <w:r w:rsidR="007B6208">
        <w:t>very recently</w:t>
      </w:r>
      <w:r w:rsidR="00FE56A8">
        <w:t xml:space="preserve"> with risks that, unless constrained by domestic and international law, States </w:t>
      </w:r>
      <w:r w:rsidR="00B56B98">
        <w:t xml:space="preserve">may </w:t>
      </w:r>
      <w:r w:rsidR="00FE56A8">
        <w:t xml:space="preserve">use digital technologies to suppress dissent. </w:t>
      </w:r>
      <w:r w:rsidR="004D5829">
        <w:t>In the domestic context, t</w:t>
      </w:r>
      <w:r w:rsidR="00AD1399">
        <w:t>he uses to which LFR may be put</w:t>
      </w:r>
      <w:r w:rsidR="00AC7C53">
        <w:t>, and the technology which supports it,</w:t>
      </w:r>
      <w:r w:rsidR="00AD1399">
        <w:t xml:space="preserve"> will doubtless evolve but this claim is concerned</w:t>
      </w:r>
      <w:r w:rsidR="00A45614">
        <w:t xml:space="preserve"> </w:t>
      </w:r>
      <w:r w:rsidR="00AD1399">
        <w:t xml:space="preserve">with </w:t>
      </w:r>
      <w:r w:rsidR="00A45614">
        <w:t xml:space="preserve">the terms of the Policy under challenge and (as we have said) </w:t>
      </w:r>
      <w:r w:rsidR="00203AD5">
        <w:t>its lawfulness now.</w:t>
      </w:r>
      <w:r w:rsidR="004C33DD">
        <w:t xml:space="preserve"> </w:t>
      </w:r>
      <w:r w:rsidR="00C16BDB">
        <w:t xml:space="preserve"> We see no reason to take a different approach to </w:t>
      </w:r>
      <w:r w:rsidR="00C16BDB" w:rsidRPr="00E45FB0">
        <w:rPr>
          <w:i/>
          <w:iCs/>
        </w:rPr>
        <w:t>Bridges</w:t>
      </w:r>
      <w:r w:rsidR="00C16BDB">
        <w:t xml:space="preserve">.  </w:t>
      </w:r>
      <w:r w:rsidR="004C33DD">
        <w:t xml:space="preserve">  </w:t>
      </w:r>
    </w:p>
    <w:p w14:paraId="38BE4531" w14:textId="442DB29E" w:rsidR="00563A0E" w:rsidRDefault="004966A5" w:rsidP="002F2079">
      <w:pPr>
        <w:pStyle w:val="ParaLevel1"/>
      </w:pPr>
      <w:r>
        <w:t xml:space="preserve">Any </w:t>
      </w:r>
      <w:r w:rsidR="00940E62">
        <w:t>intrusion to which</w:t>
      </w:r>
      <w:r w:rsidR="00091900">
        <w:t xml:space="preserve"> </w:t>
      </w:r>
      <w:r w:rsidR="009E189C">
        <w:t xml:space="preserve">the claimants </w:t>
      </w:r>
      <w:r w:rsidR="00940E62">
        <w:t xml:space="preserve">are exposed by the deployment of LFR </w:t>
      </w:r>
      <w:r w:rsidR="00533BD1">
        <w:t>is</w:t>
      </w:r>
      <w:r w:rsidR="00940E62">
        <w:t xml:space="preserve"> </w:t>
      </w:r>
      <w:r w:rsidR="00872744">
        <w:t xml:space="preserve">not </w:t>
      </w:r>
      <w:r>
        <w:t>directed at them</w:t>
      </w:r>
      <w:r w:rsidR="009E189C">
        <w:t xml:space="preserve"> in the sense that, save for </w:t>
      </w:r>
      <w:r w:rsidR="00AF15F3">
        <w:t xml:space="preserve">unintended </w:t>
      </w:r>
      <w:r w:rsidR="009E189C">
        <w:t>error</w:t>
      </w:r>
      <w:r w:rsidR="00AF15F3">
        <w:t>s</w:t>
      </w:r>
      <w:r w:rsidR="009E189C">
        <w:t>, the MPS has no interest in their biometrics</w:t>
      </w:r>
      <w:r w:rsidR="00AF15F3">
        <w:t xml:space="preserve"> or in engaging with them.  </w:t>
      </w:r>
      <w:r w:rsidR="006D0D6A">
        <w:t xml:space="preserve">We regard this as a further reason why the capture and processing of personal data by LFR software is not at the same </w:t>
      </w:r>
      <w:r w:rsidR="00872744">
        <w:t xml:space="preserve">end of the </w:t>
      </w:r>
      <w:r w:rsidR="00225B26">
        <w:t>“</w:t>
      </w:r>
      <w:r w:rsidR="00872744">
        <w:t>spectrum</w:t>
      </w:r>
      <w:r w:rsidR="00225B26">
        <w:t>”</w:t>
      </w:r>
      <w:r w:rsidR="00872744">
        <w:t xml:space="preserve"> </w:t>
      </w:r>
      <w:r w:rsidR="00972818">
        <w:t xml:space="preserve">of intrusive executive action </w:t>
      </w:r>
      <w:r w:rsidR="00872744">
        <w:t xml:space="preserve">(to reflect the language of the Court of Appeal in </w:t>
      </w:r>
      <w:r w:rsidR="00872744" w:rsidRPr="00533BD1">
        <w:rPr>
          <w:i/>
          <w:iCs/>
        </w:rPr>
        <w:t>Bridges</w:t>
      </w:r>
      <w:r w:rsidR="00872744">
        <w:t xml:space="preserve">) </w:t>
      </w:r>
      <w:r w:rsidR="00533BD1">
        <w:t>as i</w:t>
      </w:r>
      <w:r w:rsidR="000514FD">
        <w:t xml:space="preserve">n </w:t>
      </w:r>
      <w:r w:rsidR="004C33DD" w:rsidRPr="007851A7">
        <w:rPr>
          <w:i/>
          <w:iCs/>
        </w:rPr>
        <w:t>Malone</w:t>
      </w:r>
      <w:r w:rsidR="00ED2897">
        <w:t xml:space="preserve"> and other cases </w:t>
      </w:r>
      <w:r w:rsidR="009066D7">
        <w:t xml:space="preserve">cited to us </w:t>
      </w:r>
      <w:r w:rsidR="00ED2897">
        <w:t xml:space="preserve">where </w:t>
      </w:r>
      <w:r w:rsidR="00514B66">
        <w:t>executive action</w:t>
      </w:r>
      <w:r w:rsidR="000514FD">
        <w:t xml:space="preserve"> </w:t>
      </w:r>
      <w:r w:rsidR="00602035">
        <w:t xml:space="preserve">was </w:t>
      </w:r>
      <w:r w:rsidR="004F5CEA">
        <w:t xml:space="preserve">specifically </w:t>
      </w:r>
      <w:r w:rsidR="000514FD">
        <w:t xml:space="preserve">aimed </w:t>
      </w:r>
      <w:r w:rsidR="00693747">
        <w:t>at</w:t>
      </w:r>
      <w:r w:rsidR="00D57199">
        <w:t xml:space="preserve"> </w:t>
      </w:r>
      <w:r w:rsidR="00FB2A04">
        <w:t xml:space="preserve">circumscribing or otherwise regulating </w:t>
      </w:r>
      <w:r w:rsidR="00A56008">
        <w:t xml:space="preserve">a </w:t>
      </w:r>
      <w:r w:rsidR="000514FD">
        <w:t xml:space="preserve">particular </w:t>
      </w:r>
      <w:r w:rsidR="00A93B87">
        <w:t>individual’s conduct</w:t>
      </w:r>
      <w:r w:rsidR="00514B66">
        <w:t>.</w:t>
      </w:r>
      <w:r w:rsidR="00225B26">
        <w:t xml:space="preserve"> </w:t>
      </w:r>
      <w:r w:rsidR="00E43673">
        <w:t xml:space="preserve"> </w:t>
      </w:r>
      <w:r w:rsidR="00225B26">
        <w:t xml:space="preserve"> </w:t>
      </w:r>
    </w:p>
    <w:p w14:paraId="4F299E12" w14:textId="78656450" w:rsidR="004C33DD" w:rsidRPr="00B93EA4" w:rsidRDefault="00B93EA4" w:rsidP="002F2079">
      <w:pPr>
        <w:pStyle w:val="ParaLevel1"/>
        <w:numPr>
          <w:ilvl w:val="0"/>
          <w:numId w:val="0"/>
        </w:numPr>
        <w:rPr>
          <w:b/>
          <w:bCs/>
          <w:i/>
          <w:iCs/>
        </w:rPr>
      </w:pPr>
      <w:r w:rsidRPr="00B93EA4">
        <w:rPr>
          <w:b/>
          <w:bCs/>
          <w:i/>
          <w:iCs/>
        </w:rPr>
        <w:t>Discrimination</w:t>
      </w:r>
      <w:r w:rsidR="00514B66" w:rsidRPr="00B93EA4">
        <w:rPr>
          <w:b/>
          <w:bCs/>
          <w:i/>
          <w:iCs/>
        </w:rPr>
        <w:t xml:space="preserve">  </w:t>
      </w:r>
      <w:r w:rsidR="004C33DD" w:rsidRPr="00B93EA4">
        <w:rPr>
          <w:b/>
          <w:bCs/>
          <w:i/>
          <w:iCs/>
        </w:rPr>
        <w:t xml:space="preserve"> </w:t>
      </w:r>
    </w:p>
    <w:p w14:paraId="63710567" w14:textId="40B88D1C" w:rsidR="006E501F" w:rsidRDefault="00842571" w:rsidP="002F2079">
      <w:pPr>
        <w:pStyle w:val="ParaLevel1"/>
      </w:pPr>
      <w:r>
        <w:t>Mr Squires submitted that t</w:t>
      </w:r>
      <w:r w:rsidR="006E501F">
        <w:t xml:space="preserve">he arbitrary nature of where LFR may be deployed under the Policy may lead to </w:t>
      </w:r>
      <w:r w:rsidR="00533A55">
        <w:t xml:space="preserve">disproportionate </w:t>
      </w:r>
      <w:r w:rsidR="003154FA">
        <w:t>deployment</w:t>
      </w:r>
      <w:r w:rsidR="006E501F">
        <w:t xml:space="preserve"> in areas of London which are lived in by </w:t>
      </w:r>
      <w:r w:rsidR="004B695F">
        <w:t>ethnic minority communities</w:t>
      </w:r>
      <w:r w:rsidR="006E501F">
        <w:t xml:space="preserve">. </w:t>
      </w:r>
    </w:p>
    <w:p w14:paraId="3FC197D7" w14:textId="764A4493" w:rsidR="002743F9" w:rsidRDefault="0080037E" w:rsidP="002F2079">
      <w:pPr>
        <w:pStyle w:val="ParaLevel1"/>
      </w:pPr>
      <w:r>
        <w:t xml:space="preserve">We heard no developed or </w:t>
      </w:r>
      <w:r w:rsidR="00F81D72">
        <w:t>meaningful challenge on discrimination grounds.</w:t>
      </w:r>
      <w:r w:rsidR="00CF234F">
        <w:t xml:space="preserve">  </w:t>
      </w:r>
      <w:r w:rsidR="00DE454E">
        <w:t>We accept that</w:t>
      </w:r>
      <w:r w:rsidR="00ED5FD2">
        <w:t xml:space="preserve">, if the Policy had </w:t>
      </w:r>
      <w:r w:rsidR="00DE454E">
        <w:t xml:space="preserve">the effect of discriminating against a section of the </w:t>
      </w:r>
      <w:proofErr w:type="gramStart"/>
      <w:r w:rsidR="00DE454E">
        <w:t>community</w:t>
      </w:r>
      <w:r w:rsidR="001B6C66">
        <w:t xml:space="preserve">, </w:t>
      </w:r>
      <w:r w:rsidR="00DE454E">
        <w:t xml:space="preserve"> </w:t>
      </w:r>
      <w:r w:rsidR="001B6C66">
        <w:t>it</w:t>
      </w:r>
      <w:proofErr w:type="gramEnd"/>
      <w:r w:rsidR="001B6C66">
        <w:t xml:space="preserve"> could or would give</w:t>
      </w:r>
      <w:r w:rsidR="00E93CF8">
        <w:t xml:space="preserve"> rise to arbitrary intrusion </w:t>
      </w:r>
      <w:r w:rsidR="001B6C66">
        <w:t xml:space="preserve">on individual rights </w:t>
      </w:r>
      <w:r w:rsidR="00E93CF8">
        <w:t xml:space="preserve">and </w:t>
      </w:r>
      <w:r w:rsidR="00ED5FD2">
        <w:t xml:space="preserve">would </w:t>
      </w:r>
      <w:r w:rsidR="00AF49BE">
        <w:t>not have</w:t>
      </w:r>
      <w:r w:rsidR="00A13997">
        <w:t xml:space="preserve"> the </w:t>
      </w:r>
      <w:r w:rsidR="00ED5FD2">
        <w:t>quality of law</w:t>
      </w:r>
      <w:r w:rsidR="00E3303A">
        <w:t>.</w:t>
      </w:r>
      <w:r w:rsidR="00AF49BE">
        <w:t xml:space="preserve">  </w:t>
      </w:r>
      <w:r w:rsidR="000A08AB">
        <w:t>However, t</w:t>
      </w:r>
      <w:r w:rsidR="00E3303A">
        <w:t xml:space="preserve">he </w:t>
      </w:r>
      <w:r w:rsidR="001D5C13">
        <w:t xml:space="preserve">risk and </w:t>
      </w:r>
      <w:r w:rsidR="00E3303A">
        <w:t xml:space="preserve">potential </w:t>
      </w:r>
      <w:r w:rsidR="003154FA">
        <w:t xml:space="preserve">scope </w:t>
      </w:r>
      <w:r w:rsidR="00E3303A">
        <w:t xml:space="preserve">for discrimination on grounds of race was no more than faintly asserted by Mr Squires.  </w:t>
      </w:r>
      <w:r w:rsidR="00F2331D">
        <w:t xml:space="preserve">We </w:t>
      </w:r>
      <w:proofErr w:type="gramStart"/>
      <w:r w:rsidR="00F2331D">
        <w:t>are not able to</w:t>
      </w:r>
      <w:proofErr w:type="gramEnd"/>
      <w:r w:rsidR="00F2331D">
        <w:t xml:space="preserve"> accept, on the thin submissions advanced before us, that </w:t>
      </w:r>
      <w:r w:rsidR="00A968A5">
        <w:t xml:space="preserve">concerns about discrimination infect the legality of the Policy.  </w:t>
      </w:r>
    </w:p>
    <w:p w14:paraId="7715C062" w14:textId="0CB83023" w:rsidR="002743F9" w:rsidRPr="009B18D4" w:rsidRDefault="009B18D4" w:rsidP="002F2079">
      <w:pPr>
        <w:pStyle w:val="ParaLevel1"/>
        <w:numPr>
          <w:ilvl w:val="0"/>
          <w:numId w:val="0"/>
        </w:numPr>
        <w:rPr>
          <w:b/>
          <w:bCs/>
          <w:i/>
          <w:iCs/>
        </w:rPr>
      </w:pPr>
      <w:r>
        <w:rPr>
          <w:b/>
          <w:bCs/>
          <w:i/>
          <w:iCs/>
        </w:rPr>
        <w:t>Context</w:t>
      </w:r>
      <w:r w:rsidR="00F368A8">
        <w:rPr>
          <w:b/>
          <w:bCs/>
          <w:i/>
          <w:iCs/>
        </w:rPr>
        <w:t>ual considerations</w:t>
      </w:r>
    </w:p>
    <w:p w14:paraId="1C87D85D" w14:textId="7732AF84" w:rsidR="00444416" w:rsidRDefault="00E5033F" w:rsidP="002F2079">
      <w:pPr>
        <w:pStyle w:val="ParaLevel1"/>
      </w:pPr>
      <w:r>
        <w:t>Mr Squires submitted that</w:t>
      </w:r>
      <w:r w:rsidR="00444416">
        <w:t xml:space="preserve"> the vast number of people exposed to having their images processed by LFR was relevant and the largescale effect on innocent people was critical.  </w:t>
      </w:r>
      <w:r w:rsidR="00444416">
        <w:lastRenderedPageBreak/>
        <w:t xml:space="preserve">The Policy failed to constrain the undue use of LFR for the mass of innocent people.  The broad discretion permitted as to where LFR software may be used has a chilling effect on the right to political protest and so should be constrained by the court.  </w:t>
      </w:r>
    </w:p>
    <w:p w14:paraId="22A52C70" w14:textId="372C55B6" w:rsidR="00514B66" w:rsidRDefault="00BB0F18" w:rsidP="002F2079">
      <w:pPr>
        <w:pStyle w:val="ParaLevel1"/>
      </w:pPr>
      <w:r>
        <w:t>As we have already set out</w:t>
      </w:r>
      <w:r w:rsidR="00D052C5">
        <w:t xml:space="preserve">, laws and policies </w:t>
      </w:r>
      <w:r w:rsidR="005C1F41" w:rsidRPr="00645DB9">
        <w:t xml:space="preserve">must be sufficiently </w:t>
      </w:r>
      <w:r w:rsidR="005C1F41" w:rsidRPr="005C1F41">
        <w:t xml:space="preserve">foreseeable in </w:t>
      </w:r>
      <w:r w:rsidR="00D052C5">
        <w:t>their</w:t>
      </w:r>
      <w:r w:rsidR="005C1F41" w:rsidRPr="005C1F41">
        <w:t xml:space="preserve"> terms to give individuals an adequate indication as to the circumstances in which and the conditions on which the authorities are entitled to resort to measures affecting their rights under the </w:t>
      </w:r>
      <w:r w:rsidR="00D052C5">
        <w:t>ECHR (</w:t>
      </w:r>
      <w:r w:rsidR="00321C38">
        <w:t xml:space="preserve">see </w:t>
      </w:r>
      <w:r w:rsidR="0090434C" w:rsidRPr="004F455F">
        <w:rPr>
          <w:i/>
          <w:iCs/>
        </w:rPr>
        <w:t>Martinez</w:t>
      </w:r>
      <w:r w:rsidR="0090434C">
        <w:t xml:space="preserve">, </w:t>
      </w:r>
      <w:r w:rsidR="00F368A8">
        <w:t xml:space="preserve">[117] </w:t>
      </w:r>
      <w:r w:rsidR="004F455F">
        <w:t>quoted at</w:t>
      </w:r>
      <w:r w:rsidR="00F368A8">
        <w:t xml:space="preserve"> </w:t>
      </w:r>
      <w:r w:rsidR="00315A5F">
        <w:t>[50]</w:t>
      </w:r>
      <w:r w:rsidR="00E61D3C">
        <w:t xml:space="preserve"> </w:t>
      </w:r>
      <w:r w:rsidR="00F368A8">
        <w:t>a</w:t>
      </w:r>
      <w:r w:rsidR="00321C38">
        <w:t>bove</w:t>
      </w:r>
      <w:r w:rsidR="00186449">
        <w:t>)</w:t>
      </w:r>
      <w:r w:rsidR="00AC682B">
        <w:t xml:space="preserve">.  This does not mean that </w:t>
      </w:r>
      <w:r w:rsidR="00D62005">
        <w:t>a public authority must spell out in its published policies every instance and every circumstance in which it will exercise a discretion or power.</w:t>
      </w:r>
      <w:r w:rsidR="004F455F">
        <w:t xml:space="preserve"> </w:t>
      </w:r>
      <w:r w:rsidR="005967B1">
        <w:t>None of the authorities to which we were directed go so far</w:t>
      </w:r>
      <w:r w:rsidR="004F455F">
        <w:t xml:space="preserve">.  </w:t>
      </w:r>
    </w:p>
    <w:p w14:paraId="6A4126D1" w14:textId="30407CC0" w:rsidR="00EE0BDA" w:rsidRDefault="008D026A" w:rsidP="002F2079">
      <w:pPr>
        <w:pStyle w:val="ParaLevel1"/>
      </w:pPr>
      <w:r>
        <w:t>We reiterate that, in this area of the law</w:t>
      </w:r>
      <w:r w:rsidR="008E60F9">
        <w:t xml:space="preserve"> as in others</w:t>
      </w:r>
      <w:r>
        <w:t>, context is important.</w:t>
      </w:r>
      <w:r w:rsidR="00BB76E3">
        <w:t xml:space="preserve">  In the words of the ECtHR with which we agree, an assessment of </w:t>
      </w:r>
      <w:r w:rsidR="0008131C">
        <w:t>whether a measure ha</w:t>
      </w:r>
      <w:r w:rsidR="00FB0646">
        <w:t>s</w:t>
      </w:r>
      <w:r w:rsidR="0008131C">
        <w:t xml:space="preserve"> the quality of law </w:t>
      </w:r>
      <w:r w:rsidR="006A46E3">
        <w:t>involves the court having “</w:t>
      </w:r>
      <w:r w:rsidR="00BB76E3" w:rsidRPr="00BB76E3">
        <w:t>regard to the specific purposes of the contested power</w:t>
      </w:r>
      <w:r w:rsidR="006A46E3">
        <w:t xml:space="preserve">” </w:t>
      </w:r>
      <w:r w:rsidR="00790738">
        <w:t>(</w:t>
      </w:r>
      <w:r w:rsidR="00790738" w:rsidRPr="00905461">
        <w:rPr>
          <w:i/>
          <w:iCs/>
        </w:rPr>
        <w:t>Versaci v Italy</w:t>
      </w:r>
      <w:r w:rsidR="00F21732">
        <w:t>, Application No</w:t>
      </w:r>
      <w:r w:rsidR="007C7177">
        <w:t xml:space="preserve">. </w:t>
      </w:r>
      <w:r w:rsidR="00F21732">
        <w:t xml:space="preserve">3795/22, 15 May </w:t>
      </w:r>
      <w:r w:rsidR="00905461">
        <w:t xml:space="preserve">2025, </w:t>
      </w:r>
      <w:r w:rsidR="00755FCC">
        <w:t>para.</w:t>
      </w:r>
      <w:r w:rsidR="00905461">
        <w:t>119).</w:t>
      </w:r>
      <w:r w:rsidR="00FB0646">
        <w:t xml:space="preserve">  In certain areas of public policy, </w:t>
      </w:r>
      <w:r w:rsidR="0056525F">
        <w:t xml:space="preserve">absolute </w:t>
      </w:r>
      <w:r w:rsidR="00FB0646">
        <w:t>certainty cannot be</w:t>
      </w:r>
      <w:r w:rsidR="0056525F">
        <w:t xml:space="preserve"> expected </w:t>
      </w:r>
      <w:r w:rsidR="003C12C0">
        <w:t>or</w:t>
      </w:r>
      <w:r w:rsidR="0056525F">
        <w:t xml:space="preserve"> is unattainable.</w:t>
      </w:r>
      <w:r w:rsidR="00EE0BDA">
        <w:t xml:space="preserve">  As </w:t>
      </w:r>
      <w:r w:rsidR="00C12839">
        <w:t xml:space="preserve">the ECtHR </w:t>
      </w:r>
      <w:r w:rsidR="00AD0EA2">
        <w:t>held</w:t>
      </w:r>
      <w:r w:rsidR="00EE0BDA">
        <w:t xml:space="preserve"> in </w:t>
      </w:r>
      <w:r w:rsidR="002854AF" w:rsidRPr="00015267">
        <w:rPr>
          <w:i/>
          <w:iCs/>
        </w:rPr>
        <w:t xml:space="preserve">Magyar </w:t>
      </w:r>
      <w:proofErr w:type="spellStart"/>
      <w:r w:rsidR="00351379" w:rsidRPr="00015267">
        <w:rPr>
          <w:i/>
          <w:iCs/>
        </w:rPr>
        <w:t>K</w:t>
      </w:r>
      <w:r w:rsidR="002921AC" w:rsidRPr="00015267">
        <w:rPr>
          <w:i/>
          <w:iCs/>
        </w:rPr>
        <w:t>é</w:t>
      </w:r>
      <w:r w:rsidR="00351379" w:rsidRPr="00015267">
        <w:rPr>
          <w:i/>
          <w:iCs/>
        </w:rPr>
        <w:t>tfark</w:t>
      </w:r>
      <w:r w:rsidR="002921AC" w:rsidRPr="00015267">
        <w:rPr>
          <w:i/>
          <w:iCs/>
        </w:rPr>
        <w:t>ú</w:t>
      </w:r>
      <w:proofErr w:type="spellEnd"/>
      <w:r w:rsidR="00351379" w:rsidRPr="00015267">
        <w:rPr>
          <w:i/>
          <w:iCs/>
        </w:rPr>
        <w:t xml:space="preserve"> Kutya </w:t>
      </w:r>
      <w:proofErr w:type="spellStart"/>
      <w:r w:rsidR="00351379" w:rsidRPr="00015267">
        <w:rPr>
          <w:i/>
          <w:iCs/>
        </w:rPr>
        <w:t>P</w:t>
      </w:r>
      <w:r w:rsidR="002921AC" w:rsidRPr="00015267">
        <w:rPr>
          <w:i/>
          <w:iCs/>
        </w:rPr>
        <w:t>á</w:t>
      </w:r>
      <w:r w:rsidR="00351379" w:rsidRPr="00015267">
        <w:rPr>
          <w:i/>
          <w:iCs/>
        </w:rPr>
        <w:t>rt</w:t>
      </w:r>
      <w:proofErr w:type="spellEnd"/>
      <w:r w:rsidR="00351379" w:rsidRPr="00015267">
        <w:rPr>
          <w:i/>
          <w:iCs/>
        </w:rPr>
        <w:t xml:space="preserve"> v Hungary </w:t>
      </w:r>
      <w:r w:rsidR="00351379">
        <w:t>(</w:t>
      </w:r>
      <w:r w:rsidR="005A4B2F">
        <w:t>2020) 49 BHRC 41</w:t>
      </w:r>
      <w:r w:rsidR="00177FFE">
        <w:t xml:space="preserve"> at [94]</w:t>
      </w:r>
      <w:r w:rsidR="00EE0BDA">
        <w:t>:</w:t>
      </w:r>
    </w:p>
    <w:p w14:paraId="5978E61B" w14:textId="41D53EE2" w:rsidR="00C56EB3" w:rsidRDefault="00EE0BDA" w:rsidP="002F2079">
      <w:pPr>
        <w:pStyle w:val="Quote"/>
      </w:pPr>
      <w:proofErr w:type="gramStart"/>
      <w:r>
        <w:t>“</w:t>
      </w:r>
      <w:r w:rsidR="0056525F">
        <w:t xml:space="preserve"> </w:t>
      </w:r>
      <w:r>
        <w:t>94</w:t>
      </w:r>
      <w:proofErr w:type="gramEnd"/>
      <w:r>
        <w:t xml:space="preserve">. As regards the requirement of foreseeability, the Court has repeatedly held that a norm cannot be regarded as a ‘law’ within the meaning of art 10(2) unless it is formulated with sufficient precision to enable a person to regulate his or her conduct. That person must be able – if need </w:t>
      </w:r>
      <w:proofErr w:type="gramStart"/>
      <w:r>
        <w:t>be</w:t>
      </w:r>
      <w:proofErr w:type="gramEnd"/>
      <w:r>
        <w:t xml:space="preserve"> with appropriate advice – to foresee, </w:t>
      </w:r>
      <w:r w:rsidRPr="00386AC6">
        <w:rPr>
          <w:i/>
          <w:iCs/>
        </w:rPr>
        <w:t>to a degree that is reasonable in the circumstances</w:t>
      </w:r>
      <w:r>
        <w:t xml:space="preserve">, </w:t>
      </w:r>
      <w:r w:rsidRPr="00386AC6">
        <w:rPr>
          <w:i/>
          <w:iCs/>
        </w:rPr>
        <w:t>the consequences which a given action may entail. Those consequences need not be foreseeable with absolute certainty. Whilst certainty is desirable, it may bring in its train excessive rigidity</w:t>
      </w:r>
      <w:r w:rsidR="00350A5A">
        <w:rPr>
          <w:i/>
          <w:iCs/>
        </w:rPr>
        <w:t>…</w:t>
      </w:r>
      <w:r>
        <w:t xml:space="preserve">”. </w:t>
      </w:r>
      <w:r w:rsidR="0056525F">
        <w:t xml:space="preserve"> </w:t>
      </w:r>
      <w:r w:rsidR="00386AC6">
        <w:t>(emphasis added)</w:t>
      </w:r>
      <w:r w:rsidR="00905461">
        <w:t xml:space="preserve">  </w:t>
      </w:r>
      <w:r w:rsidR="008D026A">
        <w:t xml:space="preserve"> </w:t>
      </w:r>
    </w:p>
    <w:p w14:paraId="607C8420" w14:textId="2A31DF54" w:rsidR="002D34DF" w:rsidRDefault="008174CE" w:rsidP="002F2079">
      <w:pPr>
        <w:pStyle w:val="ParaLevel1"/>
      </w:pPr>
      <w:r>
        <w:t xml:space="preserve">As held in </w:t>
      </w:r>
      <w:r w:rsidRPr="00A75EFB">
        <w:rPr>
          <w:i/>
          <w:iCs/>
        </w:rPr>
        <w:t>Malone</w:t>
      </w:r>
      <w:r w:rsidR="002926CA">
        <w:rPr>
          <w:i/>
          <w:iCs/>
        </w:rPr>
        <w:t xml:space="preserve"> </w:t>
      </w:r>
      <w:r w:rsidR="002926CA">
        <w:t xml:space="preserve">at [67] (which we have quoted in </w:t>
      </w:r>
      <w:r w:rsidR="00315A5F">
        <w:t>[47]</w:t>
      </w:r>
      <w:r w:rsidR="009461D4">
        <w:t xml:space="preserve"> </w:t>
      </w:r>
      <w:r w:rsidR="002926CA">
        <w:t>above)</w:t>
      </w:r>
      <w:r w:rsidR="00043844">
        <w:t xml:space="preserve">, </w:t>
      </w:r>
      <w:r w:rsidR="006538B3" w:rsidRPr="00D54FAB">
        <w:t xml:space="preserve">the </w:t>
      </w:r>
      <w:r w:rsidR="00717D5F">
        <w:t xml:space="preserve">concept of </w:t>
      </w:r>
      <w:r w:rsidR="006538B3" w:rsidRPr="00D54FAB">
        <w:t xml:space="preserve">law must be sufficiently clear in its terms to give citizens an adequate indication </w:t>
      </w:r>
      <w:r w:rsidR="006538B3" w:rsidRPr="00A75EFB">
        <w:t xml:space="preserve">as to the circumstances in which and the conditions on which public authorities are empowered to </w:t>
      </w:r>
      <w:r w:rsidR="00B615AF">
        <w:t xml:space="preserve">interfere </w:t>
      </w:r>
      <w:r w:rsidR="006538B3" w:rsidRPr="00A75EFB">
        <w:t>with the right</w:t>
      </w:r>
      <w:r w:rsidR="00B615AF">
        <w:t>s of citizens</w:t>
      </w:r>
      <w:r w:rsidR="00E914F1">
        <w:t xml:space="preserve">.  </w:t>
      </w:r>
      <w:r w:rsidR="006538B3" w:rsidRPr="00A75EFB">
        <w:t xml:space="preserve"> </w:t>
      </w:r>
      <w:r w:rsidR="00C56EB3">
        <w:t xml:space="preserve">In the </w:t>
      </w:r>
      <w:r w:rsidR="009414E6">
        <w:t xml:space="preserve">context of promoting law and order in </w:t>
      </w:r>
      <w:r w:rsidR="00C56EB3">
        <w:t>a large metropolis</w:t>
      </w:r>
      <w:r w:rsidR="00836299">
        <w:t xml:space="preserve">, </w:t>
      </w:r>
      <w:r w:rsidR="00583047">
        <w:t xml:space="preserve">the Policy provides the claimants with </w:t>
      </w:r>
      <w:r w:rsidR="00A75EFB">
        <w:t>an adequate indication</w:t>
      </w:r>
      <w:r w:rsidR="00087EF6">
        <w:t xml:space="preserve"> </w:t>
      </w:r>
      <w:r w:rsidR="00B02226">
        <w:t xml:space="preserve">of the circumstances in which LFR will be used and enables </w:t>
      </w:r>
      <w:r w:rsidR="00583047">
        <w:t xml:space="preserve">them to </w:t>
      </w:r>
      <w:r w:rsidR="0016617D" w:rsidRPr="0016617D">
        <w:t xml:space="preserve">foresee, to a degree that is reasonable in the circumstances, the consequences </w:t>
      </w:r>
      <w:r w:rsidR="00583047">
        <w:t xml:space="preserve">of travelling </w:t>
      </w:r>
      <w:r w:rsidR="00E8581F">
        <w:t>in an area of</w:t>
      </w:r>
      <w:r w:rsidR="00583047">
        <w:t xml:space="preserve"> London</w:t>
      </w:r>
      <w:r w:rsidR="00B12455">
        <w:t xml:space="preserve"> </w:t>
      </w:r>
      <w:r w:rsidR="00186568">
        <w:t>where LFR is in use</w:t>
      </w:r>
      <w:r w:rsidR="00583047">
        <w:t xml:space="preserve">.   </w:t>
      </w:r>
      <w:r w:rsidR="0016617D" w:rsidRPr="0016617D">
        <w:t xml:space="preserve"> </w:t>
      </w:r>
      <w:r w:rsidR="00F609BE">
        <w:t xml:space="preserve"> </w:t>
      </w:r>
      <w:r w:rsidR="00091886">
        <w:t xml:space="preserve"> </w:t>
      </w:r>
      <w:r w:rsidR="00A203C8">
        <w:t xml:space="preserve"> </w:t>
      </w:r>
      <w:r w:rsidR="0078719D">
        <w:t xml:space="preserve">  </w:t>
      </w:r>
      <w:r w:rsidR="00524532">
        <w:t xml:space="preserve">  </w:t>
      </w:r>
      <w:r w:rsidR="004D7510">
        <w:t xml:space="preserve"> </w:t>
      </w:r>
      <w:r w:rsidR="00B41982">
        <w:t xml:space="preserve"> </w:t>
      </w:r>
      <w:r w:rsidR="00151A71">
        <w:t xml:space="preserve"> </w:t>
      </w:r>
      <w:r w:rsidR="00365A36">
        <w:t xml:space="preserve"> </w:t>
      </w:r>
      <w:r w:rsidR="005A705E">
        <w:t xml:space="preserve">  </w:t>
      </w:r>
      <w:r w:rsidR="0082311C">
        <w:t xml:space="preserve"> </w:t>
      </w:r>
      <w:r w:rsidR="00216235">
        <w:t xml:space="preserve"> </w:t>
      </w:r>
    </w:p>
    <w:p w14:paraId="57B628B5" w14:textId="2BB39DB5" w:rsidR="008E6088" w:rsidRPr="003E45A1" w:rsidRDefault="00B72018" w:rsidP="002F2079">
      <w:pPr>
        <w:pStyle w:val="ParaLevel1"/>
        <w:numPr>
          <w:ilvl w:val="0"/>
          <w:numId w:val="0"/>
        </w:numPr>
        <w:rPr>
          <w:b/>
          <w:bCs/>
          <w:i/>
          <w:iCs/>
        </w:rPr>
      </w:pPr>
      <w:r>
        <w:rPr>
          <w:b/>
          <w:bCs/>
          <w:i/>
          <w:iCs/>
        </w:rPr>
        <w:t xml:space="preserve">Connection between “where” and “who” </w:t>
      </w:r>
    </w:p>
    <w:p w14:paraId="128A1671" w14:textId="41E9C2D6" w:rsidR="009341EE" w:rsidRDefault="0019603A" w:rsidP="002F2079">
      <w:pPr>
        <w:pStyle w:val="ParaLevel1"/>
      </w:pPr>
      <w:r>
        <w:t>Mr Squires</w:t>
      </w:r>
      <w:r w:rsidR="00E54BF9">
        <w:t xml:space="preserve">’ main submission appeared to reduce to the proposition that, </w:t>
      </w:r>
      <w:r>
        <w:t xml:space="preserve"> </w:t>
      </w:r>
      <w:r w:rsidR="00380ABE">
        <w:t xml:space="preserve">in relation to </w:t>
      </w:r>
      <w:r w:rsidR="00E54BF9">
        <w:t xml:space="preserve">LFR </w:t>
      </w:r>
      <w:r w:rsidR="0060773F">
        <w:t xml:space="preserve">deployment in crime hotspots under Use Case A, </w:t>
      </w:r>
      <w:r>
        <w:t>t</w:t>
      </w:r>
      <w:r w:rsidR="007E66C6">
        <w:t xml:space="preserve">here is no restriction on the MPS using LFR even where there is no connection between the persons being sought </w:t>
      </w:r>
      <w:r w:rsidR="005253F4">
        <w:t>(</w:t>
      </w:r>
      <w:proofErr w:type="spellStart"/>
      <w:r w:rsidR="005253F4">
        <w:t>ie</w:t>
      </w:r>
      <w:proofErr w:type="spellEnd"/>
      <w:r w:rsidR="005253F4">
        <w:t xml:space="preserve"> the “who” question) </w:t>
      </w:r>
      <w:r w:rsidR="007E66C6">
        <w:t>and the location of the deployment</w:t>
      </w:r>
      <w:r w:rsidR="005253F4">
        <w:t xml:space="preserve"> (</w:t>
      </w:r>
      <w:proofErr w:type="spellStart"/>
      <w:r w:rsidR="005253F4">
        <w:t>ie</w:t>
      </w:r>
      <w:proofErr w:type="spellEnd"/>
      <w:r w:rsidR="005253F4">
        <w:t xml:space="preserve"> the “where” question)</w:t>
      </w:r>
      <w:r w:rsidR="007E66C6">
        <w:t>.</w:t>
      </w:r>
      <w:r w:rsidR="009E7E92">
        <w:t xml:space="preserve">  He submitted that there was no</w:t>
      </w:r>
      <w:r w:rsidR="00C8612C">
        <w:t xml:space="preserve">thing to prevent </w:t>
      </w:r>
      <w:r w:rsidR="009E7E92">
        <w:t xml:space="preserve">a person who lived and committed crimes in </w:t>
      </w:r>
      <w:proofErr w:type="gramStart"/>
      <w:r w:rsidR="009E7E92">
        <w:t>South West</w:t>
      </w:r>
      <w:proofErr w:type="gramEnd"/>
      <w:r w:rsidR="009E7E92">
        <w:t xml:space="preserve"> London </w:t>
      </w:r>
      <w:r w:rsidR="004F3130">
        <w:t xml:space="preserve">from being placed on </w:t>
      </w:r>
      <w:r w:rsidR="009E7E92">
        <w:t xml:space="preserve">a watchlist </w:t>
      </w:r>
      <w:r w:rsidR="00B477A1">
        <w:t xml:space="preserve">for an LFR deployment in </w:t>
      </w:r>
      <w:proofErr w:type="gramStart"/>
      <w:r w:rsidR="00B477A1">
        <w:t>North East</w:t>
      </w:r>
      <w:proofErr w:type="gramEnd"/>
      <w:r w:rsidR="00B477A1">
        <w:t xml:space="preserve"> London</w:t>
      </w:r>
      <w:r w:rsidR="009B7A0A">
        <w:t>.</w:t>
      </w:r>
      <w:r w:rsidR="003D310D">
        <w:t xml:space="preserve"> He submitted that t</w:t>
      </w:r>
      <w:r w:rsidR="007E66C6">
        <w:t>he principal constraint relied on by the defendant, namely the proportionality requirements in section 6 of the Policy, is no constraint at all because it amounts to no more than a statement of the law with a request by the relevant officers to follow it.</w:t>
      </w:r>
      <w:r w:rsidR="00C14435">
        <w:t xml:space="preserve">  </w:t>
      </w:r>
      <w:r w:rsidR="009341EE">
        <w:t xml:space="preserve">Mr Squires invited us to conclude that there </w:t>
      </w:r>
      <w:r w:rsidR="009341EE" w:rsidRPr="00E1615E">
        <w:t xml:space="preserve">is little </w:t>
      </w:r>
      <w:r w:rsidR="009341EE" w:rsidRPr="00E1615E">
        <w:lastRenderedPageBreak/>
        <w:t xml:space="preserve">or no more meaningful constraint on the </w:t>
      </w:r>
      <w:r w:rsidR="009341EE">
        <w:t>MPS</w:t>
      </w:r>
      <w:r w:rsidR="009341EE" w:rsidRPr="00E1615E">
        <w:t xml:space="preserve"> selecting any crowded place they wish than there was in </w:t>
      </w:r>
      <w:r w:rsidR="009341EE" w:rsidRPr="00DE1467">
        <w:rPr>
          <w:i/>
          <w:iCs/>
        </w:rPr>
        <w:t>Bridges</w:t>
      </w:r>
      <w:r w:rsidR="009341EE" w:rsidRPr="00E1615E">
        <w:t xml:space="preserve">.  </w:t>
      </w:r>
    </w:p>
    <w:p w14:paraId="70B52742" w14:textId="6393702C" w:rsidR="00E13AC6" w:rsidRDefault="00583047" w:rsidP="002F2079">
      <w:pPr>
        <w:pStyle w:val="ParaLevel1"/>
      </w:pPr>
      <w:r>
        <w:t xml:space="preserve">Ms Proops submitted that </w:t>
      </w:r>
      <w:r w:rsidR="008E15AA">
        <w:t xml:space="preserve">Mr Squires had taken </w:t>
      </w:r>
      <w:r w:rsidR="00B226EE">
        <w:t xml:space="preserve">section 5, which deals with the </w:t>
      </w:r>
      <w:r w:rsidR="003D310D">
        <w:t>“where” question</w:t>
      </w:r>
      <w:r w:rsidR="00B226EE">
        <w:t xml:space="preserve">, out of context. </w:t>
      </w:r>
      <w:r w:rsidR="00105331">
        <w:t xml:space="preserve">  She submitted that, when read as a whole, the </w:t>
      </w:r>
      <w:r w:rsidR="003841D0">
        <w:t xml:space="preserve">various interlocking sections of the </w:t>
      </w:r>
      <w:r w:rsidR="00C96C53">
        <w:t xml:space="preserve">detailed </w:t>
      </w:r>
      <w:r w:rsidR="003841D0">
        <w:t xml:space="preserve">Policy </w:t>
      </w:r>
      <w:r w:rsidR="00D42E26">
        <w:t xml:space="preserve">contained clear, precise and mandatory constraints </w:t>
      </w:r>
      <w:r w:rsidR="00E13AC6">
        <w:t xml:space="preserve">on where LFR </w:t>
      </w:r>
      <w:r w:rsidR="00CA1912">
        <w:t>may</w:t>
      </w:r>
      <w:r w:rsidR="00E13AC6">
        <w:t xml:space="preserve"> be deployed.</w:t>
      </w:r>
      <w:r w:rsidR="00B64861">
        <w:t xml:space="preserve">  She submitted that the “who” question and the “where” question were rationally linked.</w:t>
      </w:r>
      <w:r w:rsidR="00604CE7">
        <w:t xml:space="preserve">  The overarching requirement of proportionality, as set out in </w:t>
      </w:r>
      <w:r w:rsidR="00721F8C">
        <w:t xml:space="preserve">detail in section 6, was a meaningful and effective safeguard against </w:t>
      </w:r>
      <w:r w:rsidR="0075093B">
        <w:t xml:space="preserve">the arbitrary deployment of </w:t>
      </w:r>
      <w:r w:rsidR="00177153">
        <w:t xml:space="preserve">LFR.  </w:t>
      </w:r>
      <w:r w:rsidR="00E13AC6">
        <w:t xml:space="preserve"> </w:t>
      </w:r>
    </w:p>
    <w:p w14:paraId="4DACFEB5" w14:textId="38B9C883" w:rsidR="005A1E66" w:rsidRDefault="00741B3B" w:rsidP="002F2079">
      <w:pPr>
        <w:pStyle w:val="ParaLevel1"/>
      </w:pPr>
      <w:r>
        <w:t>W</w:t>
      </w:r>
      <w:r w:rsidR="0054760D">
        <w:t xml:space="preserve">e </w:t>
      </w:r>
      <w:r w:rsidR="001E6605">
        <w:t xml:space="preserve">agree with Ms Proops that </w:t>
      </w:r>
      <w:r w:rsidR="0054760D">
        <w:t>the Policy</w:t>
      </w:r>
      <w:r w:rsidR="001E6605">
        <w:t xml:space="preserve"> contains adequate and lawful constraints on </w:t>
      </w:r>
      <w:r w:rsidR="003A5FE6">
        <w:t>where LFR may be deployed.</w:t>
      </w:r>
      <w:r w:rsidR="00E7074C">
        <w:t xml:space="preserve">  First, </w:t>
      </w:r>
      <w:r w:rsidR="00E26613">
        <w:t>the “where” question is linked to the “who” question</w:t>
      </w:r>
      <w:r w:rsidR="006A7322">
        <w:t xml:space="preserve"> to a significantly greater extent than Mr Squires </w:t>
      </w:r>
      <w:r w:rsidR="009C4C53">
        <w:t>suggested</w:t>
      </w:r>
      <w:r w:rsidR="00E26613">
        <w:t xml:space="preserve">.  </w:t>
      </w:r>
      <w:r w:rsidR="005F5EFA">
        <w:t xml:space="preserve">Secondly, </w:t>
      </w:r>
      <w:r w:rsidR="00CA1912">
        <w:t xml:space="preserve">as Ms Proops submitted, </w:t>
      </w:r>
      <w:r w:rsidR="005F5EFA">
        <w:t xml:space="preserve">the </w:t>
      </w:r>
      <w:r w:rsidR="00CC7B9C">
        <w:t>“why”</w:t>
      </w:r>
      <w:r w:rsidR="005F5EFA">
        <w:t xml:space="preserve">, “who” and “where” questions are </w:t>
      </w:r>
      <w:r w:rsidR="00FE4326">
        <w:t xml:space="preserve">related and </w:t>
      </w:r>
      <w:r w:rsidR="00CA1912">
        <w:t xml:space="preserve">form </w:t>
      </w:r>
      <w:r w:rsidR="00FE4326">
        <w:t xml:space="preserve">interlocking parts of a </w:t>
      </w:r>
      <w:r w:rsidR="00CC7B9C">
        <w:t xml:space="preserve">Policy </w:t>
      </w:r>
      <w:r w:rsidR="00FE4326">
        <w:t xml:space="preserve">that </w:t>
      </w:r>
      <w:r w:rsidR="00CC7B9C">
        <w:t>d</w:t>
      </w:r>
      <w:r w:rsidR="0062155E">
        <w:t xml:space="preserve">oes not authorise the making </w:t>
      </w:r>
      <w:r w:rsidR="0063110B">
        <w:t xml:space="preserve">by the police </w:t>
      </w:r>
      <w:r w:rsidR="0062155E">
        <w:t>of arbitrary decisions</w:t>
      </w:r>
      <w:r w:rsidR="0063110B">
        <w:t>, but rather decision</w:t>
      </w:r>
      <w:r w:rsidR="00C15C96">
        <w:t>s</w:t>
      </w:r>
      <w:r w:rsidR="0063110B">
        <w:t xml:space="preserve"> based on a policy which </w:t>
      </w:r>
      <w:r w:rsidR="00186568">
        <w:t>is</w:t>
      </w:r>
      <w:r w:rsidR="005A1E66">
        <w:t xml:space="preserve"> IAWL and PBL.  Thirdly, an overarching constraint on all elements of the deployment of LFR is provided by the mandatory requirement of proportionality as set out in clear terms in section 6 of the Policy.  </w:t>
      </w:r>
    </w:p>
    <w:p w14:paraId="4793EEDC" w14:textId="7ED66274" w:rsidR="00821752" w:rsidRDefault="005A1E66" w:rsidP="002F2079">
      <w:pPr>
        <w:pStyle w:val="ParaLevel1"/>
      </w:pPr>
      <w:r>
        <w:t xml:space="preserve">These three </w:t>
      </w:r>
      <w:r w:rsidR="00915AF9">
        <w:t>aspects of the Policy</w:t>
      </w:r>
      <w:r>
        <w:t xml:space="preserve"> defeat Mr Squires submissions, for the following reasons.     </w:t>
      </w:r>
      <w:r w:rsidR="0002560D">
        <w:t xml:space="preserve"> </w:t>
      </w:r>
      <w:r w:rsidR="0067260F">
        <w:t xml:space="preserve"> </w:t>
      </w:r>
    </w:p>
    <w:p w14:paraId="4B06017A" w14:textId="2E0FF5B8" w:rsidR="00821752" w:rsidRPr="00821752" w:rsidRDefault="00821752" w:rsidP="002F2079">
      <w:pPr>
        <w:pStyle w:val="ParaLevel1"/>
        <w:numPr>
          <w:ilvl w:val="0"/>
          <w:numId w:val="0"/>
        </w:numPr>
        <w:rPr>
          <w:i/>
          <w:iCs/>
        </w:rPr>
      </w:pPr>
      <w:r w:rsidRPr="00821752">
        <w:rPr>
          <w:i/>
          <w:iCs/>
        </w:rPr>
        <w:t xml:space="preserve">The “who” and “where” </w:t>
      </w:r>
      <w:r>
        <w:rPr>
          <w:i/>
          <w:iCs/>
        </w:rPr>
        <w:t>questions</w:t>
      </w:r>
    </w:p>
    <w:p w14:paraId="24E225E9" w14:textId="1F4BF8F1" w:rsidR="001169DC" w:rsidRDefault="00397FB2" w:rsidP="002F2079">
      <w:pPr>
        <w:pStyle w:val="ParaLevel1"/>
      </w:pPr>
      <w:r>
        <w:t>A</w:t>
      </w:r>
      <w:r w:rsidR="009C6E72">
        <w:t xml:space="preserve"> person </w:t>
      </w:r>
      <w:r w:rsidR="0085229F">
        <w:t>will</w:t>
      </w:r>
      <w:r w:rsidR="00415D3B">
        <w:t xml:space="preserve"> be added to a watchlist </w:t>
      </w:r>
      <w:r w:rsidR="009D3291">
        <w:t xml:space="preserve">on suspicion of criminality </w:t>
      </w:r>
      <w:r w:rsidR="00FF6403">
        <w:t xml:space="preserve">that amounts to one or more Relevant Hotspot Offence </w:t>
      </w:r>
      <w:r w:rsidR="00EF377F">
        <w:t xml:space="preserve">Types </w:t>
      </w:r>
      <w:r w:rsidR="00597090">
        <w:t xml:space="preserve">for </w:t>
      </w:r>
      <w:r w:rsidR="00E80787">
        <w:t>the</w:t>
      </w:r>
      <w:r w:rsidR="00EF377F">
        <w:t xml:space="preserve"> crime hotspot </w:t>
      </w:r>
      <w:r w:rsidR="00E80787">
        <w:t>in which LFR is to be deployed (</w:t>
      </w:r>
      <w:r w:rsidR="00755FCC">
        <w:t>para.</w:t>
      </w:r>
      <w:r w:rsidR="00E80787">
        <w:t xml:space="preserve">4.3(a)). </w:t>
      </w:r>
      <w:r w:rsidR="004B4E86">
        <w:t xml:space="preserve">  As Ms Proops submitted, there is thus </w:t>
      </w:r>
      <w:r w:rsidR="00F325F8">
        <w:t xml:space="preserve">a link between who is on a watchlist and </w:t>
      </w:r>
      <w:r w:rsidR="0085229F">
        <w:t xml:space="preserve">the </w:t>
      </w:r>
      <w:r w:rsidR="00AD4114">
        <w:t xml:space="preserve">crime hotspot </w:t>
      </w:r>
      <w:r w:rsidR="0085229F">
        <w:t>(</w:t>
      </w:r>
      <w:proofErr w:type="spellStart"/>
      <w:r w:rsidR="0085229F">
        <w:t>ie</w:t>
      </w:r>
      <w:proofErr w:type="spellEnd"/>
      <w:r w:rsidR="0085229F">
        <w:t xml:space="preserve"> the area) </w:t>
      </w:r>
      <w:r w:rsidR="004C6A7B">
        <w:t>in which LFR</w:t>
      </w:r>
      <w:r w:rsidR="00F325F8">
        <w:t xml:space="preserve"> will be deployed</w:t>
      </w:r>
      <w:r w:rsidR="00226DDB">
        <w:t xml:space="preserve">.  There is a further link </w:t>
      </w:r>
      <w:r w:rsidR="00AD4114">
        <w:t>between</w:t>
      </w:r>
      <w:r w:rsidR="00C62157">
        <w:t xml:space="preserve"> “who” and “where” in</w:t>
      </w:r>
      <w:r w:rsidR="00226DDB">
        <w:t xml:space="preserve"> that </w:t>
      </w:r>
      <w:r w:rsidR="00145942">
        <w:t xml:space="preserve">a person will be added to a watchlist </w:t>
      </w:r>
      <w:r w:rsidR="00801E95">
        <w:t>if he or she has committed (or is committing or is about to commit) a</w:t>
      </w:r>
      <w:r w:rsidR="00370789">
        <w:t xml:space="preserve">n offence that is a Relevant Hotspot Offence Type for the </w:t>
      </w:r>
      <w:r w:rsidR="00A92001">
        <w:t xml:space="preserve">area of the planned LFR deployment. </w:t>
      </w:r>
      <w:r w:rsidR="00E80787">
        <w:t xml:space="preserve"> </w:t>
      </w:r>
    </w:p>
    <w:p w14:paraId="7DB7A77C" w14:textId="4658ADB8" w:rsidR="00BF6A8A" w:rsidRDefault="001169DC" w:rsidP="002F2079">
      <w:pPr>
        <w:pStyle w:val="ParaLevel1"/>
      </w:pPr>
      <w:r>
        <w:t xml:space="preserve">A similar analysis </w:t>
      </w:r>
      <w:r w:rsidR="00331A31">
        <w:t>applies, for example,</w:t>
      </w:r>
      <w:r w:rsidR="005D66E3">
        <w:t xml:space="preserve"> </w:t>
      </w:r>
      <w:r>
        <w:t xml:space="preserve">to those who are placed on watchlists because they are subject to </w:t>
      </w:r>
      <w:r w:rsidR="00E7157D">
        <w:t>court orders (</w:t>
      </w:r>
      <w:r w:rsidR="00755FCC">
        <w:t>para.</w:t>
      </w:r>
      <w:r w:rsidR="00E7157D">
        <w:t xml:space="preserve">4.3(d)).  </w:t>
      </w:r>
      <w:r w:rsidR="00E876D3">
        <w:t xml:space="preserve">For this category of person, </w:t>
      </w:r>
      <w:r w:rsidR="00B75F02">
        <w:t xml:space="preserve">it is a requirement </w:t>
      </w:r>
      <w:r w:rsidR="008D201E">
        <w:t xml:space="preserve">for entry on a watchlist that the offence or offences </w:t>
      </w:r>
      <w:r w:rsidR="008D1CEA">
        <w:t>for which they have been charged or convicted are of a type amounting to one or more Relevant Hotspot</w:t>
      </w:r>
      <w:r w:rsidR="004B360E">
        <w:t xml:space="preserve"> Offence Types for the crime hotspot in which the LFR deployment will take place</w:t>
      </w:r>
      <w:r w:rsidR="000140CD">
        <w:t xml:space="preserve"> (with similar provision</w:t>
      </w:r>
      <w:r w:rsidR="00527F85">
        <w:t>s</w:t>
      </w:r>
      <w:r w:rsidR="000140CD">
        <w:t xml:space="preserve"> for </w:t>
      </w:r>
      <w:r w:rsidR="00116D87">
        <w:t>those subject to civil orders not made in criminal proceedings)</w:t>
      </w:r>
      <w:r w:rsidR="0029051A">
        <w:t xml:space="preserve">.  </w:t>
      </w:r>
    </w:p>
    <w:p w14:paraId="5A9B457F" w14:textId="50456CD6" w:rsidR="00272337" w:rsidRDefault="00BF6A8A" w:rsidP="002F2079">
      <w:pPr>
        <w:pStyle w:val="ParaLevel1"/>
      </w:pPr>
      <w:r>
        <w:t>Ms Proops accepted that</w:t>
      </w:r>
      <w:r w:rsidR="001C3283">
        <w:t xml:space="preserve"> </w:t>
      </w:r>
      <w:r w:rsidR="006D4371">
        <w:t xml:space="preserve">the other categories listed in the “who” section of the Policy are not </w:t>
      </w:r>
      <w:r w:rsidR="00D60F6F">
        <w:t>linked</w:t>
      </w:r>
      <w:r w:rsidR="00BC5571">
        <w:t xml:space="preserve"> to the location of an LFR deployment</w:t>
      </w:r>
      <w:r w:rsidR="00EE1DC2">
        <w:t>: serious criminals (</w:t>
      </w:r>
      <w:r w:rsidR="00755FCC">
        <w:t>para.</w:t>
      </w:r>
      <w:r w:rsidR="00EE1DC2">
        <w:t>4.</w:t>
      </w:r>
      <w:r w:rsidR="00CE0813">
        <w:t>3(b), those wanted by the courts (</w:t>
      </w:r>
      <w:r w:rsidR="00755FCC">
        <w:t>para.</w:t>
      </w:r>
      <w:r w:rsidR="00CE0813">
        <w:t>4.3</w:t>
      </w:r>
      <w:r w:rsidR="00FA7183">
        <w:t>(c), and MAPPA offenders (</w:t>
      </w:r>
      <w:r w:rsidR="00755FCC">
        <w:t>para.</w:t>
      </w:r>
      <w:r w:rsidR="00FA7183">
        <w:t>4.</w:t>
      </w:r>
      <w:r w:rsidR="004C407B">
        <w:t>3(e)).</w:t>
      </w:r>
      <w:r w:rsidR="008467ED">
        <w:t xml:space="preserve">  For these categories, however, </w:t>
      </w:r>
      <w:r w:rsidR="005F59BD">
        <w:t xml:space="preserve">there is overall protection against arbitrariness by virtue of </w:t>
      </w:r>
      <w:r w:rsidR="0059220F">
        <w:t>other requirements of the Policy, namely the “why” question and the proportionality requirement</w:t>
      </w:r>
      <w:r w:rsidR="005F59BD">
        <w:t>.</w:t>
      </w:r>
    </w:p>
    <w:p w14:paraId="48CACAFC" w14:textId="77777777" w:rsidR="00EC1127" w:rsidRDefault="00EC1127" w:rsidP="002F2079">
      <w:pPr>
        <w:pStyle w:val="ParaLevel1"/>
        <w:numPr>
          <w:ilvl w:val="0"/>
          <w:numId w:val="0"/>
        </w:numPr>
        <w:rPr>
          <w:i/>
          <w:iCs/>
        </w:rPr>
      </w:pPr>
    </w:p>
    <w:p w14:paraId="14834680" w14:textId="77777777" w:rsidR="00EC1127" w:rsidRDefault="00EC1127" w:rsidP="002F2079">
      <w:pPr>
        <w:pStyle w:val="ParaLevel1"/>
        <w:numPr>
          <w:ilvl w:val="0"/>
          <w:numId w:val="0"/>
        </w:numPr>
        <w:rPr>
          <w:i/>
          <w:iCs/>
        </w:rPr>
      </w:pPr>
    </w:p>
    <w:p w14:paraId="1B05F83C" w14:textId="26DA01C9" w:rsidR="0059220F" w:rsidRPr="00CE386F" w:rsidRDefault="0011765A" w:rsidP="002F2079">
      <w:pPr>
        <w:pStyle w:val="ParaLevel1"/>
        <w:numPr>
          <w:ilvl w:val="0"/>
          <w:numId w:val="0"/>
        </w:numPr>
        <w:rPr>
          <w:i/>
          <w:iCs/>
        </w:rPr>
      </w:pPr>
      <w:r>
        <w:rPr>
          <w:i/>
          <w:iCs/>
        </w:rPr>
        <w:lastRenderedPageBreak/>
        <w:t>Interlocking elements: t</w:t>
      </w:r>
      <w:r w:rsidR="0059220F" w:rsidRPr="00CE386F">
        <w:rPr>
          <w:i/>
          <w:iCs/>
        </w:rPr>
        <w:t>he “why”, “wh</w:t>
      </w:r>
      <w:r w:rsidR="008845C9">
        <w:rPr>
          <w:i/>
          <w:iCs/>
        </w:rPr>
        <w:t>o</w:t>
      </w:r>
      <w:r w:rsidR="0059220F" w:rsidRPr="00CE386F">
        <w:rPr>
          <w:i/>
          <w:iCs/>
        </w:rPr>
        <w:t xml:space="preserve">” and </w:t>
      </w:r>
      <w:r w:rsidR="00CE386F" w:rsidRPr="00CE386F">
        <w:rPr>
          <w:i/>
          <w:iCs/>
        </w:rPr>
        <w:t>“where” questions combined</w:t>
      </w:r>
    </w:p>
    <w:p w14:paraId="2A9592D9" w14:textId="66C98338" w:rsidR="00D642BF" w:rsidRDefault="00DA2ADB" w:rsidP="002F2079">
      <w:pPr>
        <w:pStyle w:val="ParaLevel1"/>
      </w:pPr>
      <w:r>
        <w:t xml:space="preserve">We have set out above </w:t>
      </w:r>
      <w:r w:rsidR="000F1824">
        <w:t>the important aspect</w:t>
      </w:r>
      <w:r w:rsidR="00E25773">
        <w:t>s</w:t>
      </w:r>
      <w:r w:rsidR="000F1824">
        <w:t xml:space="preserve"> of the “why” question.  Not least, as set out in paragraph </w:t>
      </w:r>
      <w:r w:rsidR="0094409E">
        <w:t>2.</w:t>
      </w:r>
      <w:r w:rsidR="00E25773">
        <w:t>1</w:t>
      </w:r>
      <w:r w:rsidR="0094409E">
        <w:t xml:space="preserve"> of the Policy, </w:t>
      </w:r>
      <w:r w:rsidR="00E25773">
        <w:t xml:space="preserve">the purpose of LFR is to </w:t>
      </w:r>
      <w:r w:rsidR="00E25773" w:rsidRPr="00F65303">
        <w:rPr>
          <w:i/>
          <w:iCs/>
        </w:rPr>
        <w:t>locate</w:t>
      </w:r>
      <w:r w:rsidR="00E25773">
        <w:t xml:space="preserve"> people.    By virtue of paragraph </w:t>
      </w:r>
      <w:r w:rsidR="0075093B">
        <w:t>2.</w:t>
      </w:r>
      <w:r w:rsidR="003E6311">
        <w:t xml:space="preserve">5, </w:t>
      </w:r>
      <w:r w:rsidR="0094409E">
        <w:t xml:space="preserve">LFR </w:t>
      </w:r>
      <w:r w:rsidR="00496132">
        <w:t xml:space="preserve">may only be used in the context of crime hotspots </w:t>
      </w:r>
      <w:r w:rsidR="008E7951">
        <w:t xml:space="preserve">for the purposes of </w:t>
      </w:r>
      <w:r w:rsidR="008E7951" w:rsidRPr="00167955">
        <w:rPr>
          <w:i/>
          <w:iCs/>
        </w:rPr>
        <w:t>locating</w:t>
      </w:r>
      <w:r w:rsidR="008E7951">
        <w:t xml:space="preserve"> </w:t>
      </w:r>
      <w:r w:rsidR="00C44B65">
        <w:t>Sought Persons on a watchlist.</w:t>
      </w:r>
      <w:r w:rsidR="00167955">
        <w:t xml:space="preserve">  </w:t>
      </w:r>
      <w:r w:rsidR="0056064A">
        <w:t>T</w:t>
      </w:r>
      <w:r w:rsidR="006838EA">
        <w:t xml:space="preserve">his means that </w:t>
      </w:r>
      <w:r w:rsidR="0034525B">
        <w:t xml:space="preserve">an application for </w:t>
      </w:r>
      <w:r w:rsidR="00826C11">
        <w:t xml:space="preserve">resources for </w:t>
      </w:r>
      <w:r w:rsidR="0034525B">
        <w:t xml:space="preserve">the deployment of LFR that is not </w:t>
      </w:r>
      <w:r w:rsidR="00A54971">
        <w:t>designed</w:t>
      </w:r>
      <w:r w:rsidR="0034525B">
        <w:t xml:space="preserve"> to locate people will fail.  </w:t>
      </w:r>
    </w:p>
    <w:p w14:paraId="6FFED1FD" w14:textId="08354FD6" w:rsidR="0059220F" w:rsidRDefault="0056064A" w:rsidP="002F2079">
      <w:pPr>
        <w:pStyle w:val="ParaLevel1"/>
      </w:pPr>
      <w:r>
        <w:t xml:space="preserve">But it also means that, </w:t>
      </w:r>
      <w:r w:rsidR="00784DAA">
        <w:t xml:space="preserve">provided that </w:t>
      </w:r>
      <w:r w:rsidR="001750E4">
        <w:t xml:space="preserve">the watchlist is capable of locating </w:t>
      </w:r>
      <w:r w:rsidR="00BC458C">
        <w:t>some people</w:t>
      </w:r>
      <w:r w:rsidR="00CB2673">
        <w:t>, it may contain the names of other</w:t>
      </w:r>
      <w:r w:rsidR="00BC458C">
        <w:t xml:space="preserve"> people </w:t>
      </w:r>
      <w:r w:rsidR="00CB2673">
        <w:t xml:space="preserve">(such as </w:t>
      </w:r>
      <w:r w:rsidR="00FF1815">
        <w:t xml:space="preserve">those wanted by the courts where the Policy does not require a connection with the location of LFR) </w:t>
      </w:r>
      <w:r w:rsidR="005736E2">
        <w:t xml:space="preserve">with no more or less intrusion on the human rights of innocent people </w:t>
      </w:r>
      <w:r w:rsidR="00826C11">
        <w:t>than if th</w:t>
      </w:r>
      <w:r w:rsidR="008A3A28">
        <w:t>ose other names w</w:t>
      </w:r>
      <w:r w:rsidR="00826C11">
        <w:t>ere not placed on the watchlist</w:t>
      </w:r>
      <w:r w:rsidR="008A3A28">
        <w:t xml:space="preserve">.  </w:t>
      </w:r>
      <w:r w:rsidR="001773A3">
        <w:t xml:space="preserve">Whether this is an effective style of policing is another question which </w:t>
      </w:r>
      <w:r w:rsidR="004C181F">
        <w:t>we have not been asked to consider</w:t>
      </w:r>
      <w:r w:rsidR="003F444C">
        <w:t xml:space="preserve"> and is not in itself a question for this court</w:t>
      </w:r>
      <w:r w:rsidR="004C181F">
        <w:t>.</w:t>
      </w:r>
      <w:r w:rsidR="00370D5B">
        <w:t xml:space="preserve">  </w:t>
      </w:r>
      <w:r w:rsidR="0023287B">
        <w:t xml:space="preserve">There is however no lack of foreseeability. </w:t>
      </w:r>
      <w:r w:rsidR="00370D5B">
        <w:t xml:space="preserve"> </w:t>
      </w:r>
      <w:r w:rsidR="004C181F">
        <w:t xml:space="preserve">  </w:t>
      </w:r>
      <w:r w:rsidR="00826C11">
        <w:t xml:space="preserve">  </w:t>
      </w:r>
    </w:p>
    <w:p w14:paraId="1A7A2638" w14:textId="18DB9196" w:rsidR="00890D5A" w:rsidRDefault="00890D5A" w:rsidP="002F2079">
      <w:pPr>
        <w:pStyle w:val="ParaLevel1"/>
        <w:numPr>
          <w:ilvl w:val="0"/>
          <w:numId w:val="0"/>
        </w:numPr>
      </w:pPr>
      <w:r w:rsidRPr="00890D5A">
        <w:rPr>
          <w:i/>
          <w:iCs/>
        </w:rPr>
        <w:t>Proportionality</w:t>
      </w:r>
      <w:r>
        <w:t xml:space="preserve"> </w:t>
      </w:r>
    </w:p>
    <w:p w14:paraId="3ADCFB9A" w14:textId="1F64B4AD" w:rsidR="00527A27" w:rsidRDefault="00B85630" w:rsidP="002F2079">
      <w:pPr>
        <w:pStyle w:val="ParaLevel1"/>
      </w:pPr>
      <w:r>
        <w:t>Furthermore</w:t>
      </w:r>
      <w:r w:rsidR="004C181F">
        <w:t>, proportionality is an overarching constraint</w:t>
      </w:r>
      <w:r w:rsidR="00701A8F">
        <w:t xml:space="preserve"> on all aspects of LFR deployment.  </w:t>
      </w:r>
      <w:r w:rsidR="008D1F33">
        <w:t>As we have said, Mr Squires submitted that the section of the Policy on proportionality is no real constraint</w:t>
      </w:r>
      <w:r w:rsidR="00466588">
        <w:t xml:space="preserve"> as it amounts to no more than a statement of the law</w:t>
      </w:r>
      <w:r w:rsidR="008D1F33">
        <w:t xml:space="preserve">.  We reject that submission.  </w:t>
      </w:r>
      <w:r w:rsidR="006058A4">
        <w:t>As we have said</w:t>
      </w:r>
      <w:r w:rsidR="00AB5715">
        <w:t>,</w:t>
      </w:r>
      <w:r w:rsidR="00A5091C">
        <w:t xml:space="preserve"> </w:t>
      </w:r>
      <w:r w:rsidR="00466588">
        <w:t>s</w:t>
      </w:r>
      <w:r w:rsidR="009F6BA1">
        <w:t xml:space="preserve">ection 6 gives guidance </w:t>
      </w:r>
      <w:r w:rsidR="00003E00">
        <w:t>that is specifically and practically linked to the sort of situations that face t</w:t>
      </w:r>
      <w:r w:rsidR="00656C90">
        <w:t>he police when determining whether to deploy LFR</w:t>
      </w:r>
      <w:r w:rsidR="00AB5715">
        <w:t>. It also</w:t>
      </w:r>
      <w:r w:rsidR="00A5091C">
        <w:t xml:space="preserve"> </w:t>
      </w:r>
      <w:r w:rsidR="00466588">
        <w:t>provides a clear and structured approach for decision-makers</w:t>
      </w:r>
      <w:r w:rsidR="00656C90">
        <w:t>.</w:t>
      </w:r>
    </w:p>
    <w:p w14:paraId="4091418A" w14:textId="676A8571" w:rsidR="00527A27" w:rsidRDefault="000C131C" w:rsidP="002F2079">
      <w:pPr>
        <w:pStyle w:val="ParaLevel1"/>
      </w:pPr>
      <w:r>
        <w:t xml:space="preserve">As regards the potential interference with </w:t>
      </w:r>
      <w:r w:rsidR="002C79A5">
        <w:t xml:space="preserve">privacy rights, </w:t>
      </w:r>
      <w:r w:rsidR="00D52B1B">
        <w:t>Article</w:t>
      </w:r>
      <w:r w:rsidR="006C729D">
        <w:t xml:space="preserve"> </w:t>
      </w:r>
      <w:r w:rsidR="00D52B1B">
        <w:t>8</w:t>
      </w:r>
      <w:r w:rsidR="006C729D">
        <w:t xml:space="preserve"> is c</w:t>
      </w:r>
      <w:r w:rsidR="001B2AD7">
        <w:t>onsidered in detail</w:t>
      </w:r>
      <w:r w:rsidR="003E5CDE">
        <w:t xml:space="preserve"> with practical examples</w:t>
      </w:r>
      <w:r w:rsidR="001B2AD7">
        <w:t xml:space="preserve">.  The Policy recognises that Article 8 </w:t>
      </w:r>
      <w:r w:rsidR="002A54B2">
        <w:t xml:space="preserve">“may be engaged with greater intensity if the proposed Deployment is to an area in which members of the public have greater expectations of privacy, </w:t>
      </w:r>
      <w:r w:rsidR="00844925">
        <w:t xml:space="preserve">for example close to a clinic or a school”.  A sporting facility </w:t>
      </w:r>
      <w:r w:rsidR="005E57A7">
        <w:t>“may attract a greater expectation of privacy when it is being used as a private members’ club than if it is used to host a major ticketed sporting event” (</w:t>
      </w:r>
      <w:r w:rsidR="00755FCC">
        <w:t>para.</w:t>
      </w:r>
      <w:r w:rsidR="005E57A7">
        <w:t xml:space="preserve">6.4(a)).  </w:t>
      </w:r>
    </w:p>
    <w:p w14:paraId="5A32C5BE" w14:textId="25DD8F4E" w:rsidR="00781A5F" w:rsidRDefault="00CB1938" w:rsidP="002F2079">
      <w:pPr>
        <w:pStyle w:val="ParaLevel1"/>
      </w:pPr>
      <w:r>
        <w:t xml:space="preserve">In relation to </w:t>
      </w:r>
      <w:r w:rsidR="002C79A5">
        <w:t xml:space="preserve">interference with </w:t>
      </w:r>
      <w:r w:rsidR="006C729D">
        <w:t>Article 10 and 11</w:t>
      </w:r>
      <w:r w:rsidR="002C79A5">
        <w:t xml:space="preserve"> rights</w:t>
      </w:r>
      <w:r>
        <w:t xml:space="preserve">, </w:t>
      </w:r>
      <w:r w:rsidR="00734D34">
        <w:t>the Policy expressly requires the police to</w:t>
      </w:r>
      <w:r w:rsidR="00ED4DAB">
        <w:t xml:space="preserve"> “have regard to the risk that deployment will have a chilling effect</w:t>
      </w:r>
      <w:r w:rsidR="009A753D">
        <w:t xml:space="preserve"> on the willingness of some individuals to take part in lawful assembly and express their view</w:t>
      </w:r>
      <w:r w:rsidR="00CD2499">
        <w:t>s</w:t>
      </w:r>
      <w:r w:rsidR="009A753D">
        <w:t>” (</w:t>
      </w:r>
      <w:r w:rsidR="00755FCC">
        <w:t>para.</w:t>
      </w:r>
      <w:r w:rsidR="009A753D">
        <w:t>6.4(d)).</w:t>
      </w:r>
      <w:r w:rsidR="008C78ED">
        <w:t xml:space="preserve">  The</w:t>
      </w:r>
      <w:r w:rsidR="0008529F">
        <w:t xml:space="preserve">re is </w:t>
      </w:r>
      <w:r w:rsidR="005A681F">
        <w:t xml:space="preserve">clear and </w:t>
      </w:r>
      <w:r w:rsidR="0008529F">
        <w:t xml:space="preserve">detailed </w:t>
      </w:r>
      <w:r w:rsidR="009E5CB3">
        <w:t>guidance at paragraph 6.5</w:t>
      </w:r>
      <w:r w:rsidR="00D23645">
        <w:t xml:space="preserve"> that </w:t>
      </w:r>
      <w:r w:rsidR="009E5CB3">
        <w:t xml:space="preserve">enables decision-makers to </w:t>
      </w:r>
      <w:r w:rsidR="00D13027">
        <w:t xml:space="preserve">understand whether any interference with rights is warranted in the </w:t>
      </w:r>
      <w:proofErr w:type="gramStart"/>
      <w:r w:rsidR="00D13027">
        <w:t>particular circumstances</w:t>
      </w:r>
      <w:proofErr w:type="gramEnd"/>
      <w:r w:rsidR="00D13027">
        <w:t xml:space="preserve"> </w:t>
      </w:r>
      <w:r w:rsidR="006A2093">
        <w:t xml:space="preserve">with which they may be confronted (see </w:t>
      </w:r>
      <w:r w:rsidR="00315A5F">
        <w:t xml:space="preserve">[121] </w:t>
      </w:r>
      <w:r w:rsidR="006A2093">
        <w:t>above)</w:t>
      </w:r>
      <w:r w:rsidR="00F61532">
        <w:t>.</w:t>
      </w:r>
      <w:r w:rsidR="0002196E">
        <w:t xml:space="preserve"> </w:t>
      </w:r>
      <w:r w:rsidR="008E7632">
        <w:t>There is a structured, three-stage process for the assessment of proportionality (</w:t>
      </w:r>
      <w:r w:rsidR="000A0B7D">
        <w:t xml:space="preserve">see </w:t>
      </w:r>
      <w:r w:rsidR="00315A5F">
        <w:t xml:space="preserve">[122]-[123] </w:t>
      </w:r>
      <w:r w:rsidR="000A0B7D">
        <w:t>above).</w:t>
      </w:r>
      <w:r w:rsidR="00A44814">
        <w:t xml:space="preserve">  Of particular importance in the context of the issues raised by the present claim, t</w:t>
      </w:r>
      <w:r w:rsidR="002901AD">
        <w:t xml:space="preserve">he Policy </w:t>
      </w:r>
      <w:r w:rsidR="0003497C">
        <w:t xml:space="preserve">recognises the concerns about </w:t>
      </w:r>
      <w:r w:rsidR="002B04FE">
        <w:t>sheer numbers by stipulating that</w:t>
      </w:r>
      <w:r w:rsidR="002901AD">
        <w:t>, in any particular case, the more serious the interference and the greater the number of people whose rights are affected, the less likely that LFR would be proportionate (</w:t>
      </w:r>
      <w:r w:rsidR="00755FCC">
        <w:t>para.</w:t>
      </w:r>
      <w:r w:rsidR="002901AD">
        <w:t xml:space="preserve">6.10(d)). </w:t>
      </w:r>
      <w:r w:rsidR="002B04FE">
        <w:t xml:space="preserve">  </w:t>
      </w:r>
    </w:p>
    <w:p w14:paraId="7DFB0B2F" w14:textId="02586C71" w:rsidR="002901AD" w:rsidRDefault="002B04FE" w:rsidP="002F2079">
      <w:pPr>
        <w:pStyle w:val="ParaLevel1"/>
      </w:pPr>
      <w:r>
        <w:t xml:space="preserve">In our judgment, read fairly </w:t>
      </w:r>
      <w:proofErr w:type="gramStart"/>
      <w:r>
        <w:t xml:space="preserve">and as a whole, </w:t>
      </w:r>
      <w:r w:rsidR="006210FC">
        <w:t>the</w:t>
      </w:r>
      <w:proofErr w:type="gramEnd"/>
      <w:r w:rsidR="006210FC">
        <w:t xml:space="preserve"> guidance to officers on proportionality </w:t>
      </w:r>
      <w:r w:rsidR="0083162F">
        <w:t xml:space="preserve">“addresses the factors to be considered” </w:t>
      </w:r>
      <w:r w:rsidR="002E750A">
        <w:t>(</w:t>
      </w:r>
      <w:r w:rsidR="002E750A" w:rsidRPr="005F5C75">
        <w:rPr>
          <w:i/>
          <w:iCs/>
        </w:rPr>
        <w:t>Christian Institute</w:t>
      </w:r>
      <w:r w:rsidR="005F5C75">
        <w:t xml:space="preserve"> at [97</w:t>
      </w:r>
      <w:r w:rsidR="00BE3B24">
        <w:t>]</w:t>
      </w:r>
      <w:r w:rsidR="005F5C75">
        <w:t>)</w:t>
      </w:r>
      <w:r w:rsidR="00BE3B24">
        <w:t xml:space="preserve">.  It recognises and deals with the </w:t>
      </w:r>
      <w:r w:rsidR="00D94134">
        <w:t>risk of a chilling effect on aspects of public life.</w:t>
      </w:r>
      <w:r w:rsidR="00BE3B24">
        <w:t xml:space="preserve">  It acts as an effective safeguard against arbitrary outcomes.  </w:t>
      </w:r>
      <w:r w:rsidR="00D94134">
        <w:t xml:space="preserve">  </w:t>
      </w:r>
      <w:r w:rsidR="005F5C75">
        <w:t xml:space="preserve">    </w:t>
      </w:r>
      <w:r w:rsidR="003C46BB">
        <w:t xml:space="preserve"> </w:t>
      </w:r>
      <w:r w:rsidR="002901AD">
        <w:t xml:space="preserve">  </w:t>
      </w:r>
    </w:p>
    <w:p w14:paraId="2F1A6583" w14:textId="4878AA5A" w:rsidR="00272337" w:rsidRDefault="00180AA4" w:rsidP="002F2079">
      <w:pPr>
        <w:pStyle w:val="ParaLevel1"/>
      </w:pPr>
      <w:r>
        <w:lastRenderedPageBreak/>
        <w:t xml:space="preserve">This is a long way from </w:t>
      </w:r>
      <w:r w:rsidRPr="00180AA4">
        <w:rPr>
          <w:i/>
          <w:iCs/>
        </w:rPr>
        <w:t>Bridges</w:t>
      </w:r>
      <w:r w:rsidR="005E1C11">
        <w:rPr>
          <w:i/>
          <w:iCs/>
        </w:rPr>
        <w:t xml:space="preserve"> </w:t>
      </w:r>
      <w:r w:rsidR="005E1C11">
        <w:t>in which the Court of Appeal criticised the</w:t>
      </w:r>
      <w:r w:rsidR="00573BC9">
        <w:t xml:space="preserve"> use of LFR in South Wales when it was not </w:t>
      </w:r>
      <w:r w:rsidR="004B6F05">
        <w:t xml:space="preserve">even </w:t>
      </w:r>
      <w:r w:rsidR="00573BC9">
        <w:t xml:space="preserve">clear </w:t>
      </w:r>
      <w:r w:rsidR="005A0C07">
        <w:t xml:space="preserve">who could be placed on the watchlist or that there were any criteria for determining where LFR could be deployed.  </w:t>
      </w:r>
      <w:r w:rsidR="00186BD6">
        <w:t xml:space="preserve">It was in these circumstances that </w:t>
      </w:r>
      <w:r w:rsidR="00E26180">
        <w:t xml:space="preserve">the Court concluded that </w:t>
      </w:r>
      <w:r w:rsidR="00DA7B84">
        <w:t>“</w:t>
      </w:r>
      <w:r w:rsidR="007616A0">
        <w:t>too much discretion</w:t>
      </w:r>
      <w:r w:rsidR="00DA7B84">
        <w:t>”</w:t>
      </w:r>
      <w:r w:rsidR="007616A0">
        <w:t xml:space="preserve"> was left to </w:t>
      </w:r>
      <w:r w:rsidR="00EA13B7">
        <w:t>individual police officers.</w:t>
      </w:r>
      <w:r w:rsidR="00EF51E7">
        <w:t xml:space="preserve">  </w:t>
      </w:r>
      <w:r w:rsidR="0075093B">
        <w:t>Neither t</w:t>
      </w:r>
      <w:r w:rsidR="00EF51E7">
        <w:t>hose pitfalls</w:t>
      </w:r>
      <w:r w:rsidR="0075093B">
        <w:t>, nor anything like them,</w:t>
      </w:r>
      <w:r w:rsidR="00EF51E7">
        <w:t xml:space="preserve"> exist in the Policy before us. </w:t>
      </w:r>
      <w:r w:rsidR="00EA13B7">
        <w:t xml:space="preserve">  </w:t>
      </w:r>
      <w:r>
        <w:t xml:space="preserve">  </w:t>
      </w:r>
    </w:p>
    <w:p w14:paraId="02D99864" w14:textId="61568AA1" w:rsidR="00150CB5" w:rsidRPr="00150CB5" w:rsidRDefault="00150CB5" w:rsidP="002F2079">
      <w:pPr>
        <w:pStyle w:val="ParaLevel1"/>
        <w:numPr>
          <w:ilvl w:val="0"/>
          <w:numId w:val="0"/>
        </w:numPr>
        <w:rPr>
          <w:b/>
          <w:bCs/>
          <w:i/>
          <w:iCs/>
        </w:rPr>
      </w:pPr>
      <w:r w:rsidRPr="00150CB5">
        <w:rPr>
          <w:b/>
          <w:bCs/>
          <w:i/>
          <w:iCs/>
        </w:rPr>
        <w:t>Conclusions on grounds 1 and 2</w:t>
      </w:r>
    </w:p>
    <w:p w14:paraId="09D13A9A" w14:textId="6723B55F" w:rsidR="00C51E07" w:rsidRDefault="00C51E07" w:rsidP="002F2079">
      <w:pPr>
        <w:pStyle w:val="ParaLevel1"/>
      </w:pPr>
      <w:r>
        <w:t xml:space="preserve">For these reasons, </w:t>
      </w:r>
      <w:r w:rsidR="00F02FA5">
        <w:t xml:space="preserve">the </w:t>
      </w:r>
      <w:r w:rsidR="00EF51E7">
        <w:t xml:space="preserve">Policy is IAWL and PBL.  The </w:t>
      </w:r>
      <w:r w:rsidR="00F02FA5">
        <w:t xml:space="preserve">claimants’ human rights have not been breached whether under article 8 (ground 1) or under articles 10 and 11 (ground 2).  Both grounds of challenge fail. </w:t>
      </w:r>
      <w:r>
        <w:t xml:space="preserve"> </w:t>
      </w:r>
    </w:p>
    <w:p w14:paraId="57B97F56" w14:textId="47CED358" w:rsidR="00C14435" w:rsidRPr="007C5D09" w:rsidRDefault="0099042A" w:rsidP="002F2079">
      <w:pPr>
        <w:pStyle w:val="ParaLevel1"/>
        <w:numPr>
          <w:ilvl w:val="0"/>
          <w:numId w:val="0"/>
        </w:numPr>
        <w:rPr>
          <w:b/>
          <w:bCs/>
        </w:rPr>
      </w:pPr>
      <w:r w:rsidRPr="007C5D09">
        <w:rPr>
          <w:b/>
          <w:bCs/>
        </w:rPr>
        <w:t xml:space="preserve">Senior Courts Act </w:t>
      </w:r>
      <w:r w:rsidR="007C5D09" w:rsidRPr="007C5D09">
        <w:rPr>
          <w:b/>
          <w:bCs/>
        </w:rPr>
        <w:t>1981, section 31(2A)</w:t>
      </w:r>
    </w:p>
    <w:p w14:paraId="752E9E16" w14:textId="77777777" w:rsidR="004E2E1C" w:rsidRDefault="007C5D09" w:rsidP="002F2079">
      <w:pPr>
        <w:pStyle w:val="ParaLevel1"/>
      </w:pPr>
      <w:r>
        <w:t>Ms Proops submitted in the alternative that</w:t>
      </w:r>
      <w:r w:rsidR="00370DB9">
        <w:t xml:space="preserve"> </w:t>
      </w:r>
      <w:r w:rsidR="00982BCB">
        <w:t xml:space="preserve">the court should refuse to grant relief, on the grounds that </w:t>
      </w:r>
      <w:r w:rsidR="00370DB9">
        <w:t xml:space="preserve">any </w:t>
      </w:r>
      <w:r w:rsidR="0012238D">
        <w:t xml:space="preserve">defect relating to the quality of law </w:t>
      </w:r>
      <w:r w:rsidR="00B56EBC">
        <w:t>was immaterial and academic</w:t>
      </w:r>
      <w:r w:rsidR="0012238D">
        <w:t xml:space="preserve">.  It </w:t>
      </w:r>
      <w:r w:rsidR="0009399C">
        <w:t xml:space="preserve">was highly likely that the outcome for the claimants </w:t>
      </w:r>
      <w:r w:rsidR="00370DB9">
        <w:t>would not have been substantially different if the conduct complained of had not occurred</w:t>
      </w:r>
      <w:r w:rsidR="007C79FD">
        <w:t xml:space="preserve"> (section</w:t>
      </w:r>
      <w:r w:rsidR="006C6630">
        <w:t xml:space="preserve"> 31(2A).  Given our other conclusions, we do not need to consider this </w:t>
      </w:r>
      <w:r w:rsidR="004E2E1C">
        <w:t xml:space="preserve">aspect of Ms Proops’ submissions. </w:t>
      </w:r>
    </w:p>
    <w:p w14:paraId="628F505F" w14:textId="4D7C41C7" w:rsidR="004E2E1C" w:rsidRPr="004E2E1C" w:rsidRDefault="00F83547" w:rsidP="002F2079">
      <w:pPr>
        <w:pStyle w:val="ParaLevel1"/>
        <w:numPr>
          <w:ilvl w:val="0"/>
          <w:numId w:val="0"/>
        </w:numPr>
        <w:rPr>
          <w:b/>
          <w:bCs/>
        </w:rPr>
      </w:pPr>
      <w:r>
        <w:rPr>
          <w:b/>
          <w:bCs/>
        </w:rPr>
        <w:t>Conclusion</w:t>
      </w:r>
    </w:p>
    <w:p w14:paraId="4C73F757" w14:textId="66BBBEF8" w:rsidR="00C14435" w:rsidRDefault="004E2E1C" w:rsidP="002F2079">
      <w:pPr>
        <w:pStyle w:val="ParaLevel1"/>
      </w:pPr>
      <w:r>
        <w:t xml:space="preserve">Accordingly, the claim is dismissed. </w:t>
      </w:r>
      <w:r w:rsidR="00370DB9">
        <w:t xml:space="preserve"> </w:t>
      </w:r>
    </w:p>
    <w:p w14:paraId="4CFB635F" w14:textId="2ED8FE7D" w:rsidR="00544F6C" w:rsidRDefault="00544F6C" w:rsidP="006A6893">
      <w:pPr>
        <w:pStyle w:val="ParaLevel1"/>
        <w:numPr>
          <w:ilvl w:val="0"/>
          <w:numId w:val="0"/>
        </w:numPr>
        <w:ind w:left="720"/>
      </w:pPr>
    </w:p>
    <w:sectPr w:rsidR="00544F6C" w:rsidSect="006A6893">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99CE" w14:textId="77777777" w:rsidR="008E53D8" w:rsidRDefault="008E53D8">
      <w:r>
        <w:separator/>
      </w:r>
    </w:p>
  </w:endnote>
  <w:endnote w:type="continuationSeparator" w:id="0">
    <w:p w14:paraId="6CE10E7B" w14:textId="77777777" w:rsidR="008E53D8" w:rsidRDefault="008E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61579"/>
      <w:docPartObj>
        <w:docPartGallery w:val="Page Numbers (Bottom of Page)"/>
        <w:docPartUnique/>
      </w:docPartObj>
    </w:sdtPr>
    <w:sdtEndPr/>
    <w:sdtContent>
      <w:p w14:paraId="3C02CC38" w14:textId="6B304D8A" w:rsidR="002F2079" w:rsidRDefault="002F2079">
        <w:pPr>
          <w:pStyle w:val="Footer"/>
          <w:jc w:val="center"/>
        </w:pPr>
        <w:r>
          <w:fldChar w:fldCharType="begin"/>
        </w:r>
        <w:r>
          <w:instrText>PAGE   \* MERGEFORMAT</w:instrText>
        </w:r>
        <w:r>
          <w:fldChar w:fldCharType="separate"/>
        </w:r>
        <w:r>
          <w:t>2</w:t>
        </w:r>
        <w:r>
          <w:fldChar w:fldCharType="end"/>
        </w:r>
      </w:p>
    </w:sdtContent>
  </w:sdt>
  <w:p w14:paraId="563EF314" w14:textId="77777777" w:rsidR="005E2342"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231551"/>
      <w:docPartObj>
        <w:docPartGallery w:val="Page Numbers (Bottom of Page)"/>
        <w:docPartUnique/>
      </w:docPartObj>
    </w:sdtPr>
    <w:sdtEndPr/>
    <w:sdtContent>
      <w:p w14:paraId="420BF1EC" w14:textId="6F6DFA5C" w:rsidR="002F2079" w:rsidRDefault="002F2079">
        <w:pPr>
          <w:pStyle w:val="Footer"/>
          <w:jc w:val="center"/>
        </w:pPr>
        <w:r>
          <w:fldChar w:fldCharType="begin"/>
        </w:r>
        <w:r>
          <w:instrText>PAGE   \* MERGEFORMAT</w:instrText>
        </w:r>
        <w:r>
          <w:fldChar w:fldCharType="separate"/>
        </w:r>
        <w:r>
          <w:t>2</w:t>
        </w:r>
        <w:r>
          <w:fldChar w:fldCharType="end"/>
        </w:r>
      </w:p>
    </w:sdtContent>
  </w:sdt>
  <w:p w14:paraId="02E11209" w14:textId="073EEC4A" w:rsidR="005E2342" w:rsidRPr="006A6893" w:rsidRDefault="005E2342" w:rsidP="006A6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5D1C" w14:textId="77777777" w:rsidR="008E53D8" w:rsidRDefault="008E53D8">
      <w:r>
        <w:separator/>
      </w:r>
    </w:p>
  </w:footnote>
  <w:footnote w:type="continuationSeparator" w:id="0">
    <w:p w14:paraId="10FB51CB" w14:textId="77777777" w:rsidR="008E53D8" w:rsidRDefault="008E53D8">
      <w:r>
        <w:continuationSeparator/>
      </w:r>
    </w:p>
  </w:footnote>
  <w:footnote w:id="1">
    <w:p w14:paraId="515E9613" w14:textId="4755BBE2" w:rsidR="009D0512" w:rsidRDefault="009D0512">
      <w:pPr>
        <w:pStyle w:val="FootnoteText"/>
      </w:pPr>
      <w:r>
        <w:rPr>
          <w:rStyle w:val="FootnoteReference"/>
        </w:rPr>
        <w:footnoteRef/>
      </w:r>
      <w:r>
        <w:t xml:space="preserve"> We are not concerned with (for instance) the “principle of legality” in the sense of the common law principle of statutory interpretation that fundamental rights cannot be overridden by general or ambiguous statutory words: see per Lord Hofmann in </w:t>
      </w:r>
      <w:r w:rsidRPr="001D4804">
        <w:rPr>
          <w:i/>
          <w:iCs/>
        </w:rPr>
        <w:t>R v Secretary of State for the Home Department, Ex p Simms</w:t>
      </w:r>
      <w:r>
        <w:t xml:space="preserve"> [2000] 2 AC 115, 131.  </w:t>
      </w:r>
    </w:p>
  </w:footnote>
  <w:footnote w:id="2">
    <w:p w14:paraId="64215814" w14:textId="7E40D5A3" w:rsidR="00943882" w:rsidRDefault="00943882">
      <w:pPr>
        <w:pStyle w:val="FootnoteText"/>
      </w:pPr>
      <w:r>
        <w:rPr>
          <w:rStyle w:val="FootnoteReference"/>
        </w:rPr>
        <w:footnoteRef/>
      </w:r>
      <w:r>
        <w:t xml:space="preserve"> In fact, the defendant had already decided on 14 March 2024 to review his LFR policy (see [81]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ayout w:type="fixed"/>
      <w:tblLook w:val="0000" w:firstRow="0" w:lastRow="0" w:firstColumn="0" w:lastColumn="0" w:noHBand="0" w:noVBand="0"/>
    </w:tblPr>
    <w:tblGrid>
      <w:gridCol w:w="4680"/>
      <w:gridCol w:w="4320"/>
    </w:tblGrid>
    <w:tr w:rsidR="005E2342" w14:paraId="380E71F2" w14:textId="77777777">
      <w:tc>
        <w:tcPr>
          <w:tcW w:w="4680" w:type="dxa"/>
        </w:tcPr>
        <w:p w14:paraId="5733507E" w14:textId="430C8140" w:rsidR="005E2342" w:rsidRPr="006A6893" w:rsidRDefault="006A6893">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320" w:type="dxa"/>
        </w:tcPr>
        <w:p w14:paraId="66A3E17D" w14:textId="53030625" w:rsidR="005E2342" w:rsidRDefault="00DD1B15">
          <w:pPr>
            <w:pStyle w:val="Header"/>
            <w:jc w:val="right"/>
            <w:rPr>
              <w:rFonts w:ascii="Times New Roman" w:hAnsi="Times New Roman"/>
              <w:sz w:val="16"/>
            </w:rPr>
          </w:pPr>
          <w:r>
            <w:rPr>
              <w:rFonts w:ascii="Times New Roman" w:hAnsi="Times New Roman"/>
              <w:sz w:val="16"/>
            </w:rPr>
            <w:t>R (Thompson and Carlo) v Commissioner of Police for the Metropolis</w:t>
          </w:r>
        </w:p>
      </w:tc>
    </w:tr>
  </w:tbl>
  <w:p w14:paraId="1D361C38"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56"/>
    <w:multiLevelType w:val="hybridMultilevel"/>
    <w:tmpl w:val="3380412E"/>
    <w:lvl w:ilvl="0" w:tplc="8CA4120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107DC8"/>
    <w:multiLevelType w:val="hybridMultilevel"/>
    <w:tmpl w:val="584273D6"/>
    <w:lvl w:ilvl="0" w:tplc="8CA4120E">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D8D688B"/>
    <w:multiLevelType w:val="hybridMultilevel"/>
    <w:tmpl w:val="4C4A151C"/>
    <w:lvl w:ilvl="0" w:tplc="DAB60BA6">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0D3B70"/>
    <w:multiLevelType w:val="hybridMultilevel"/>
    <w:tmpl w:val="06F2CEE6"/>
    <w:lvl w:ilvl="0" w:tplc="2324A2EE">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962478A"/>
    <w:multiLevelType w:val="hybridMultilevel"/>
    <w:tmpl w:val="FD3453AC"/>
    <w:lvl w:ilvl="0" w:tplc="66AE94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623E23"/>
    <w:multiLevelType w:val="hybridMultilevel"/>
    <w:tmpl w:val="E12E3376"/>
    <w:lvl w:ilvl="0" w:tplc="0809001B">
      <w:start w:val="1"/>
      <w:numFmt w:val="lowerRoman"/>
      <w:lvlText w:val="%1."/>
      <w:lvlJc w:val="right"/>
      <w:pPr>
        <w:ind w:left="1440" w:hanging="360"/>
      </w:pPr>
      <w:rPr>
        <w:rFonts w:hint="default"/>
        <w:b w:val="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A9B027D"/>
    <w:multiLevelType w:val="hybridMultilevel"/>
    <w:tmpl w:val="80A84ECC"/>
    <w:lvl w:ilvl="0" w:tplc="C83C397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9FD2771"/>
    <w:multiLevelType w:val="hybridMultilevel"/>
    <w:tmpl w:val="A6C8C2D4"/>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8" w15:restartNumberingAfterBreak="0">
    <w:nsid w:val="4ADD3B63"/>
    <w:multiLevelType w:val="hybridMultilevel"/>
    <w:tmpl w:val="1CAC7530"/>
    <w:lvl w:ilvl="0" w:tplc="8CA4120E">
      <w:start w:val="1"/>
      <w:numFmt w:val="decimal"/>
      <w:lvlText w:val="(%1)"/>
      <w:lvlJc w:val="left"/>
      <w:pPr>
        <w:ind w:left="1440" w:hanging="360"/>
      </w:pPr>
      <w:rPr>
        <w:rFonts w:hint="default"/>
        <w:b w:val="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0" w15:restartNumberingAfterBreak="0">
    <w:nsid w:val="6B027EA1"/>
    <w:multiLevelType w:val="hybridMultilevel"/>
    <w:tmpl w:val="65D054B6"/>
    <w:lvl w:ilvl="0" w:tplc="8CA4120E">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5D70B9F"/>
    <w:multiLevelType w:val="multilevel"/>
    <w:tmpl w:val="12F80DCE"/>
    <w:lvl w:ilvl="0">
      <w:start w:val="1"/>
      <w:numFmt w:val="decimal"/>
      <w:pStyle w:val="ParaLevel1"/>
      <w:lvlText w:val="%1."/>
      <w:lvlJc w:val="left"/>
      <w:pPr>
        <w:tabs>
          <w:tab w:val="num" w:pos="1145"/>
        </w:tabs>
        <w:ind w:left="1145" w:hanging="720"/>
      </w:pPr>
      <w:rPr>
        <w:rFonts w:hint="default"/>
        <w:b w:val="0"/>
        <w:i w:val="0"/>
        <w:u w:val="none"/>
      </w:rPr>
    </w:lvl>
    <w:lvl w:ilvl="1">
      <w:start w:val="1"/>
      <w:numFmt w:val="lowerRoman"/>
      <w:pStyle w:val="ParaLevel2"/>
      <w:lvlText w:val="%2)"/>
      <w:lvlJc w:val="left"/>
      <w:pPr>
        <w:tabs>
          <w:tab w:val="num" w:pos="1134"/>
        </w:tabs>
        <w:ind w:left="1134" w:hanging="709"/>
      </w:pPr>
      <w:rPr>
        <w:rFonts w:hint="default"/>
        <w:b w:val="0"/>
        <w:i w:val="0"/>
      </w:rPr>
    </w:lvl>
    <w:lvl w:ilvl="2">
      <w:start w:val="1"/>
      <w:numFmt w:val="lowerLetter"/>
      <w:pStyle w:val="ParaLevel3"/>
      <w:lvlText w:val="%3)"/>
      <w:lvlJc w:val="left"/>
      <w:pPr>
        <w:tabs>
          <w:tab w:val="num" w:pos="1843"/>
        </w:tabs>
        <w:ind w:left="1843" w:hanging="709"/>
      </w:pPr>
      <w:rPr>
        <w:rFonts w:hint="default"/>
      </w:rPr>
    </w:lvl>
    <w:lvl w:ilvl="3">
      <w:start w:val="1"/>
      <w:numFmt w:val="lowerRoman"/>
      <w:pStyle w:val="ParaLevel4"/>
      <w:lvlText w:val="%4)"/>
      <w:lvlJc w:val="left"/>
      <w:pPr>
        <w:tabs>
          <w:tab w:val="num" w:pos="2923"/>
        </w:tabs>
        <w:ind w:left="2552" w:hanging="709"/>
      </w:pPr>
      <w:rPr>
        <w:rFonts w:hint="default"/>
      </w:rPr>
    </w:lvl>
    <w:lvl w:ilvl="4">
      <w:start w:val="1"/>
      <w:numFmt w:val="lowerLetter"/>
      <w:pStyle w:val="ParaLevel5"/>
      <w:lvlText w:val="(%5)"/>
      <w:lvlJc w:val="left"/>
      <w:pPr>
        <w:tabs>
          <w:tab w:val="num" w:pos="3261"/>
        </w:tabs>
        <w:ind w:left="3261" w:hanging="709"/>
      </w:pPr>
      <w:rPr>
        <w:rFonts w:hint="default"/>
      </w:rPr>
    </w:lvl>
    <w:lvl w:ilvl="5">
      <w:start w:val="1"/>
      <w:numFmt w:val="lowerRoman"/>
      <w:pStyle w:val="ParaLevel6"/>
      <w:lvlText w:val="(%6)"/>
      <w:lvlJc w:val="left"/>
      <w:pPr>
        <w:tabs>
          <w:tab w:val="num" w:pos="4341"/>
        </w:tabs>
        <w:ind w:left="3970" w:hanging="709"/>
      </w:pPr>
      <w:rPr>
        <w:rFonts w:hint="default"/>
      </w:rPr>
    </w:lvl>
    <w:lvl w:ilvl="6">
      <w:start w:val="1"/>
      <w:numFmt w:val="lowerLetter"/>
      <w:pStyle w:val="ParaLevel7"/>
      <w:lvlText w:val="(%7)"/>
      <w:lvlJc w:val="left"/>
      <w:pPr>
        <w:tabs>
          <w:tab w:val="num" w:pos="4679"/>
        </w:tabs>
        <w:ind w:left="4679" w:hanging="709"/>
      </w:pPr>
      <w:rPr>
        <w:rFonts w:hint="default"/>
      </w:rPr>
    </w:lvl>
    <w:lvl w:ilvl="7">
      <w:start w:val="1"/>
      <w:numFmt w:val="lowerRoman"/>
      <w:pStyle w:val="ParaLevel8"/>
      <w:lvlText w:val="(%8)"/>
      <w:lvlJc w:val="left"/>
      <w:pPr>
        <w:tabs>
          <w:tab w:val="num" w:pos="5759"/>
        </w:tabs>
        <w:ind w:left="5388" w:hanging="709"/>
      </w:pPr>
      <w:rPr>
        <w:rFonts w:hint="default"/>
      </w:rPr>
    </w:lvl>
    <w:lvl w:ilvl="8">
      <w:start w:val="1"/>
      <w:numFmt w:val="lowerLetter"/>
      <w:pStyle w:val="ParaLevel9"/>
      <w:lvlText w:val="(%9)"/>
      <w:lvlJc w:val="left"/>
      <w:pPr>
        <w:tabs>
          <w:tab w:val="num" w:pos="6097"/>
        </w:tabs>
        <w:ind w:left="6097" w:hanging="709"/>
      </w:pPr>
      <w:rPr>
        <w:rFonts w:hint="default"/>
      </w:rPr>
    </w:lvl>
  </w:abstractNum>
  <w:abstractNum w:abstractNumId="12" w15:restartNumberingAfterBreak="0">
    <w:nsid w:val="7CEA6BA9"/>
    <w:multiLevelType w:val="hybridMultilevel"/>
    <w:tmpl w:val="FDC05A7A"/>
    <w:lvl w:ilvl="0" w:tplc="8CA4120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4452140">
    <w:abstractNumId w:val="11"/>
  </w:num>
  <w:num w:numId="2" w16cid:durableId="1909536853">
    <w:abstractNumId w:val="11"/>
  </w:num>
  <w:num w:numId="3" w16cid:durableId="1768308214">
    <w:abstractNumId w:val="11"/>
  </w:num>
  <w:num w:numId="4" w16cid:durableId="1356688083">
    <w:abstractNumId w:val="11"/>
  </w:num>
  <w:num w:numId="5" w16cid:durableId="814102999">
    <w:abstractNumId w:val="11"/>
  </w:num>
  <w:num w:numId="6" w16cid:durableId="1541045739">
    <w:abstractNumId w:val="11"/>
  </w:num>
  <w:num w:numId="7" w16cid:durableId="912817771">
    <w:abstractNumId w:val="11"/>
  </w:num>
  <w:num w:numId="8" w16cid:durableId="2070178776">
    <w:abstractNumId w:val="11"/>
  </w:num>
  <w:num w:numId="9" w16cid:durableId="1779370703">
    <w:abstractNumId w:val="11"/>
  </w:num>
  <w:num w:numId="10" w16cid:durableId="465634273">
    <w:abstractNumId w:val="9"/>
  </w:num>
  <w:num w:numId="11" w16cid:durableId="1179539258">
    <w:abstractNumId w:val="11"/>
  </w:num>
  <w:num w:numId="12" w16cid:durableId="1003826454">
    <w:abstractNumId w:val="2"/>
  </w:num>
  <w:num w:numId="13" w16cid:durableId="1347290695">
    <w:abstractNumId w:val="11"/>
  </w:num>
  <w:num w:numId="14" w16cid:durableId="462619830">
    <w:abstractNumId w:val="11"/>
  </w:num>
  <w:num w:numId="15" w16cid:durableId="66802243">
    <w:abstractNumId w:val="11"/>
  </w:num>
  <w:num w:numId="16" w16cid:durableId="1473136703">
    <w:abstractNumId w:val="11"/>
  </w:num>
  <w:num w:numId="17" w16cid:durableId="1622373510">
    <w:abstractNumId w:val="11"/>
  </w:num>
  <w:num w:numId="18" w16cid:durableId="1397048138">
    <w:abstractNumId w:val="11"/>
  </w:num>
  <w:num w:numId="19" w16cid:durableId="1849176958">
    <w:abstractNumId w:val="11"/>
  </w:num>
  <w:num w:numId="20" w16cid:durableId="390351775">
    <w:abstractNumId w:val="11"/>
  </w:num>
  <w:num w:numId="21" w16cid:durableId="1894929190">
    <w:abstractNumId w:val="11"/>
  </w:num>
  <w:num w:numId="22" w16cid:durableId="746268836">
    <w:abstractNumId w:val="12"/>
  </w:num>
  <w:num w:numId="23" w16cid:durableId="1669862516">
    <w:abstractNumId w:val="11"/>
  </w:num>
  <w:num w:numId="24" w16cid:durableId="1572235268">
    <w:abstractNumId w:val="11"/>
  </w:num>
  <w:num w:numId="25" w16cid:durableId="1905872303">
    <w:abstractNumId w:val="11"/>
  </w:num>
  <w:num w:numId="26" w16cid:durableId="566036623">
    <w:abstractNumId w:val="11"/>
  </w:num>
  <w:num w:numId="27" w16cid:durableId="1766531092">
    <w:abstractNumId w:val="6"/>
  </w:num>
  <w:num w:numId="28" w16cid:durableId="1017194358">
    <w:abstractNumId w:val="3"/>
  </w:num>
  <w:num w:numId="29" w16cid:durableId="158160169">
    <w:abstractNumId w:val="11"/>
  </w:num>
  <w:num w:numId="30" w16cid:durableId="550773344">
    <w:abstractNumId w:val="11"/>
  </w:num>
  <w:num w:numId="31" w16cid:durableId="423384382">
    <w:abstractNumId w:val="0"/>
  </w:num>
  <w:num w:numId="32" w16cid:durableId="1587572785">
    <w:abstractNumId w:val="7"/>
  </w:num>
  <w:num w:numId="33" w16cid:durableId="412170970">
    <w:abstractNumId w:val="5"/>
  </w:num>
  <w:num w:numId="34" w16cid:durableId="268632350">
    <w:abstractNumId w:val="8"/>
  </w:num>
  <w:num w:numId="35" w16cid:durableId="613363648">
    <w:abstractNumId w:val="11"/>
  </w:num>
  <w:num w:numId="36" w16cid:durableId="876887915">
    <w:abstractNumId w:val="11"/>
  </w:num>
  <w:num w:numId="37" w16cid:durableId="310643114">
    <w:abstractNumId w:val="11"/>
  </w:num>
  <w:num w:numId="38" w16cid:durableId="861864007">
    <w:abstractNumId w:val="11"/>
  </w:num>
  <w:num w:numId="39" w16cid:durableId="1382291524">
    <w:abstractNumId w:val="11"/>
  </w:num>
  <w:num w:numId="40" w16cid:durableId="1746219093">
    <w:abstractNumId w:val="10"/>
  </w:num>
  <w:num w:numId="41" w16cid:durableId="2050959536">
    <w:abstractNumId w:val="4"/>
  </w:num>
  <w:num w:numId="42" w16cid:durableId="209538140">
    <w:abstractNumId w:val="11"/>
  </w:num>
  <w:num w:numId="43" w16cid:durableId="495338925">
    <w:abstractNumId w:val="11"/>
  </w:num>
  <w:num w:numId="44" w16cid:durableId="151070598">
    <w:abstractNumId w:val="11"/>
  </w:num>
  <w:num w:numId="45" w16cid:durableId="559097750">
    <w:abstractNumId w:val="11"/>
  </w:num>
  <w:num w:numId="46" w16cid:durableId="465053507">
    <w:abstractNumId w:val="11"/>
  </w:num>
  <w:num w:numId="47" w16cid:durableId="1562981469">
    <w:abstractNumId w:val="11"/>
  </w:num>
  <w:num w:numId="48" w16cid:durableId="585843459">
    <w:abstractNumId w:val="11"/>
  </w:num>
  <w:num w:numId="49" w16cid:durableId="1989480844">
    <w:abstractNumId w:val="11"/>
  </w:num>
  <w:num w:numId="50" w16cid:durableId="1515875216">
    <w:abstractNumId w:val="11"/>
  </w:num>
  <w:num w:numId="51" w16cid:durableId="1251741441">
    <w:abstractNumId w:val="11"/>
  </w:num>
  <w:num w:numId="52" w16cid:durableId="732897492">
    <w:abstractNumId w:val="11"/>
  </w:num>
  <w:num w:numId="53" w16cid:durableId="1451629866">
    <w:abstractNumId w:val="11"/>
  </w:num>
  <w:num w:numId="54" w16cid:durableId="1548760417">
    <w:abstractNumId w:val="1"/>
  </w:num>
  <w:num w:numId="55" w16cid:durableId="1704210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7E"/>
    <w:rsid w:val="000021AF"/>
    <w:rsid w:val="00002543"/>
    <w:rsid w:val="00002B2D"/>
    <w:rsid w:val="00003947"/>
    <w:rsid w:val="00003E00"/>
    <w:rsid w:val="000058CB"/>
    <w:rsid w:val="00005948"/>
    <w:rsid w:val="00007CB9"/>
    <w:rsid w:val="00010392"/>
    <w:rsid w:val="00010B67"/>
    <w:rsid w:val="00012BED"/>
    <w:rsid w:val="000140CD"/>
    <w:rsid w:val="00015267"/>
    <w:rsid w:val="000172DB"/>
    <w:rsid w:val="0001788B"/>
    <w:rsid w:val="00017F51"/>
    <w:rsid w:val="00020E68"/>
    <w:rsid w:val="0002196E"/>
    <w:rsid w:val="00022CBE"/>
    <w:rsid w:val="00023BE6"/>
    <w:rsid w:val="00024E2A"/>
    <w:rsid w:val="00025341"/>
    <w:rsid w:val="000255F9"/>
    <w:rsid w:val="0002560D"/>
    <w:rsid w:val="00025E8F"/>
    <w:rsid w:val="00025F3E"/>
    <w:rsid w:val="00026644"/>
    <w:rsid w:val="00026658"/>
    <w:rsid w:val="00030FFD"/>
    <w:rsid w:val="00032357"/>
    <w:rsid w:val="0003497C"/>
    <w:rsid w:val="000350BA"/>
    <w:rsid w:val="00036312"/>
    <w:rsid w:val="0003674A"/>
    <w:rsid w:val="00040016"/>
    <w:rsid w:val="000417E7"/>
    <w:rsid w:val="0004299E"/>
    <w:rsid w:val="00043657"/>
    <w:rsid w:val="00043844"/>
    <w:rsid w:val="00044C75"/>
    <w:rsid w:val="00044ECD"/>
    <w:rsid w:val="000451AB"/>
    <w:rsid w:val="000463A4"/>
    <w:rsid w:val="000466FE"/>
    <w:rsid w:val="000470F9"/>
    <w:rsid w:val="00047FBB"/>
    <w:rsid w:val="000514FD"/>
    <w:rsid w:val="0005323D"/>
    <w:rsid w:val="00053FA0"/>
    <w:rsid w:val="00054489"/>
    <w:rsid w:val="000545D2"/>
    <w:rsid w:val="00054986"/>
    <w:rsid w:val="00060472"/>
    <w:rsid w:val="00060D58"/>
    <w:rsid w:val="00060DB4"/>
    <w:rsid w:val="00061357"/>
    <w:rsid w:val="000614F0"/>
    <w:rsid w:val="0006298C"/>
    <w:rsid w:val="00062D3C"/>
    <w:rsid w:val="00063377"/>
    <w:rsid w:val="00063DE0"/>
    <w:rsid w:val="00065EE2"/>
    <w:rsid w:val="00066137"/>
    <w:rsid w:val="0006695F"/>
    <w:rsid w:val="000676D8"/>
    <w:rsid w:val="000678F9"/>
    <w:rsid w:val="00070E72"/>
    <w:rsid w:val="00071847"/>
    <w:rsid w:val="00071EC9"/>
    <w:rsid w:val="000724EF"/>
    <w:rsid w:val="00073E94"/>
    <w:rsid w:val="0007608B"/>
    <w:rsid w:val="00076CDF"/>
    <w:rsid w:val="0008131C"/>
    <w:rsid w:val="000814E5"/>
    <w:rsid w:val="00081910"/>
    <w:rsid w:val="00081EEF"/>
    <w:rsid w:val="00083834"/>
    <w:rsid w:val="00084748"/>
    <w:rsid w:val="00084E1D"/>
    <w:rsid w:val="00085040"/>
    <w:rsid w:val="0008529F"/>
    <w:rsid w:val="00085A43"/>
    <w:rsid w:val="00085DFF"/>
    <w:rsid w:val="000860D0"/>
    <w:rsid w:val="00087EF6"/>
    <w:rsid w:val="00091886"/>
    <w:rsid w:val="00091900"/>
    <w:rsid w:val="000925C4"/>
    <w:rsid w:val="00092AEE"/>
    <w:rsid w:val="00092B7B"/>
    <w:rsid w:val="00092E12"/>
    <w:rsid w:val="00093392"/>
    <w:rsid w:val="0009353B"/>
    <w:rsid w:val="0009399C"/>
    <w:rsid w:val="000941DC"/>
    <w:rsid w:val="000948FF"/>
    <w:rsid w:val="0009492B"/>
    <w:rsid w:val="00094EE1"/>
    <w:rsid w:val="00094F9B"/>
    <w:rsid w:val="00095262"/>
    <w:rsid w:val="00095896"/>
    <w:rsid w:val="00095BC7"/>
    <w:rsid w:val="0009699A"/>
    <w:rsid w:val="000A08AB"/>
    <w:rsid w:val="000A0B7D"/>
    <w:rsid w:val="000A14B8"/>
    <w:rsid w:val="000A14D7"/>
    <w:rsid w:val="000A19FB"/>
    <w:rsid w:val="000A2C3E"/>
    <w:rsid w:val="000A435A"/>
    <w:rsid w:val="000A5379"/>
    <w:rsid w:val="000A6825"/>
    <w:rsid w:val="000A72F7"/>
    <w:rsid w:val="000A75FA"/>
    <w:rsid w:val="000B0F96"/>
    <w:rsid w:val="000B1601"/>
    <w:rsid w:val="000B2D4B"/>
    <w:rsid w:val="000B33E5"/>
    <w:rsid w:val="000B3898"/>
    <w:rsid w:val="000B50A9"/>
    <w:rsid w:val="000B510B"/>
    <w:rsid w:val="000B52ED"/>
    <w:rsid w:val="000B7921"/>
    <w:rsid w:val="000C002D"/>
    <w:rsid w:val="000C004B"/>
    <w:rsid w:val="000C131C"/>
    <w:rsid w:val="000C140A"/>
    <w:rsid w:val="000C20AB"/>
    <w:rsid w:val="000C29B9"/>
    <w:rsid w:val="000C2A58"/>
    <w:rsid w:val="000C2A91"/>
    <w:rsid w:val="000C32D4"/>
    <w:rsid w:val="000C3BB9"/>
    <w:rsid w:val="000C3C03"/>
    <w:rsid w:val="000C6ABB"/>
    <w:rsid w:val="000C6DA6"/>
    <w:rsid w:val="000C7EA2"/>
    <w:rsid w:val="000C7F25"/>
    <w:rsid w:val="000D327F"/>
    <w:rsid w:val="000D4A76"/>
    <w:rsid w:val="000D601A"/>
    <w:rsid w:val="000D644B"/>
    <w:rsid w:val="000E0143"/>
    <w:rsid w:val="000E0F7F"/>
    <w:rsid w:val="000E2E92"/>
    <w:rsid w:val="000E321D"/>
    <w:rsid w:val="000E367E"/>
    <w:rsid w:val="000E372C"/>
    <w:rsid w:val="000E4419"/>
    <w:rsid w:val="000E465C"/>
    <w:rsid w:val="000E56C2"/>
    <w:rsid w:val="000E653F"/>
    <w:rsid w:val="000E75C0"/>
    <w:rsid w:val="000E7AAC"/>
    <w:rsid w:val="000F115B"/>
    <w:rsid w:val="000F1824"/>
    <w:rsid w:val="000F19BF"/>
    <w:rsid w:val="000F1D1D"/>
    <w:rsid w:val="000F2EFE"/>
    <w:rsid w:val="000F3988"/>
    <w:rsid w:val="000F4302"/>
    <w:rsid w:val="000F6C2C"/>
    <w:rsid w:val="0010063A"/>
    <w:rsid w:val="0010206D"/>
    <w:rsid w:val="001034B2"/>
    <w:rsid w:val="00104144"/>
    <w:rsid w:val="001048B0"/>
    <w:rsid w:val="001050BB"/>
    <w:rsid w:val="00105331"/>
    <w:rsid w:val="00105E00"/>
    <w:rsid w:val="00111ADE"/>
    <w:rsid w:val="00111E07"/>
    <w:rsid w:val="001121C3"/>
    <w:rsid w:val="00112EAA"/>
    <w:rsid w:val="0011515B"/>
    <w:rsid w:val="00116948"/>
    <w:rsid w:val="001169DC"/>
    <w:rsid w:val="00116CB5"/>
    <w:rsid w:val="00116D87"/>
    <w:rsid w:val="0011765A"/>
    <w:rsid w:val="00120171"/>
    <w:rsid w:val="00121A29"/>
    <w:rsid w:val="00121B3C"/>
    <w:rsid w:val="0012238D"/>
    <w:rsid w:val="001225D8"/>
    <w:rsid w:val="00122BA4"/>
    <w:rsid w:val="00123AD6"/>
    <w:rsid w:val="00123EB0"/>
    <w:rsid w:val="001241FB"/>
    <w:rsid w:val="001243A7"/>
    <w:rsid w:val="0012507F"/>
    <w:rsid w:val="001252AA"/>
    <w:rsid w:val="00125DB2"/>
    <w:rsid w:val="0013012B"/>
    <w:rsid w:val="00131078"/>
    <w:rsid w:val="001311E3"/>
    <w:rsid w:val="001314F3"/>
    <w:rsid w:val="00132446"/>
    <w:rsid w:val="00132A09"/>
    <w:rsid w:val="00133028"/>
    <w:rsid w:val="00133659"/>
    <w:rsid w:val="00135267"/>
    <w:rsid w:val="001360CC"/>
    <w:rsid w:val="001361DC"/>
    <w:rsid w:val="001368EC"/>
    <w:rsid w:val="0013732F"/>
    <w:rsid w:val="00141609"/>
    <w:rsid w:val="00142226"/>
    <w:rsid w:val="001423FA"/>
    <w:rsid w:val="0014562A"/>
    <w:rsid w:val="00145942"/>
    <w:rsid w:val="0014784B"/>
    <w:rsid w:val="00147AAD"/>
    <w:rsid w:val="00147C34"/>
    <w:rsid w:val="00147DE9"/>
    <w:rsid w:val="00150CB5"/>
    <w:rsid w:val="00151673"/>
    <w:rsid w:val="00151A71"/>
    <w:rsid w:val="00151EE0"/>
    <w:rsid w:val="0015201C"/>
    <w:rsid w:val="00152EBA"/>
    <w:rsid w:val="00152F89"/>
    <w:rsid w:val="00154245"/>
    <w:rsid w:val="00155956"/>
    <w:rsid w:val="00155F47"/>
    <w:rsid w:val="00156987"/>
    <w:rsid w:val="00156E9D"/>
    <w:rsid w:val="00160332"/>
    <w:rsid w:val="0016089A"/>
    <w:rsid w:val="00160F3A"/>
    <w:rsid w:val="00161557"/>
    <w:rsid w:val="001623FF"/>
    <w:rsid w:val="001624F0"/>
    <w:rsid w:val="0016317F"/>
    <w:rsid w:val="001643BF"/>
    <w:rsid w:val="00165A97"/>
    <w:rsid w:val="0016617D"/>
    <w:rsid w:val="00166881"/>
    <w:rsid w:val="00166E7D"/>
    <w:rsid w:val="00167955"/>
    <w:rsid w:val="00167E6A"/>
    <w:rsid w:val="00170719"/>
    <w:rsid w:val="001707E4"/>
    <w:rsid w:val="001720DD"/>
    <w:rsid w:val="0017276F"/>
    <w:rsid w:val="001727A3"/>
    <w:rsid w:val="0017417F"/>
    <w:rsid w:val="001747FB"/>
    <w:rsid w:val="001750E4"/>
    <w:rsid w:val="00176BDB"/>
    <w:rsid w:val="00177153"/>
    <w:rsid w:val="001773A3"/>
    <w:rsid w:val="00177FFE"/>
    <w:rsid w:val="001808BB"/>
    <w:rsid w:val="00180AA4"/>
    <w:rsid w:val="001811C0"/>
    <w:rsid w:val="0018184E"/>
    <w:rsid w:val="00181F2F"/>
    <w:rsid w:val="001828F2"/>
    <w:rsid w:val="001831FA"/>
    <w:rsid w:val="001845C7"/>
    <w:rsid w:val="001856AC"/>
    <w:rsid w:val="00185A1B"/>
    <w:rsid w:val="00185F66"/>
    <w:rsid w:val="00186449"/>
    <w:rsid w:val="00186568"/>
    <w:rsid w:val="0018698D"/>
    <w:rsid w:val="00186BD6"/>
    <w:rsid w:val="00186DA0"/>
    <w:rsid w:val="0018752E"/>
    <w:rsid w:val="0018779C"/>
    <w:rsid w:val="001904BA"/>
    <w:rsid w:val="0019125F"/>
    <w:rsid w:val="00191E7E"/>
    <w:rsid w:val="00191EA9"/>
    <w:rsid w:val="00194033"/>
    <w:rsid w:val="00194630"/>
    <w:rsid w:val="001949AD"/>
    <w:rsid w:val="00195545"/>
    <w:rsid w:val="00195762"/>
    <w:rsid w:val="0019603A"/>
    <w:rsid w:val="00196941"/>
    <w:rsid w:val="00197137"/>
    <w:rsid w:val="001A032F"/>
    <w:rsid w:val="001A0474"/>
    <w:rsid w:val="001A0753"/>
    <w:rsid w:val="001A1A1A"/>
    <w:rsid w:val="001A1A3E"/>
    <w:rsid w:val="001A21AE"/>
    <w:rsid w:val="001A4350"/>
    <w:rsid w:val="001A72E3"/>
    <w:rsid w:val="001A7B7D"/>
    <w:rsid w:val="001B0372"/>
    <w:rsid w:val="001B0DBD"/>
    <w:rsid w:val="001B29E9"/>
    <w:rsid w:val="001B2AD7"/>
    <w:rsid w:val="001B4AB4"/>
    <w:rsid w:val="001B4F74"/>
    <w:rsid w:val="001B54C4"/>
    <w:rsid w:val="001B6C66"/>
    <w:rsid w:val="001B7C98"/>
    <w:rsid w:val="001C019B"/>
    <w:rsid w:val="001C0469"/>
    <w:rsid w:val="001C1244"/>
    <w:rsid w:val="001C13A4"/>
    <w:rsid w:val="001C1573"/>
    <w:rsid w:val="001C3283"/>
    <w:rsid w:val="001C4FEB"/>
    <w:rsid w:val="001C53A1"/>
    <w:rsid w:val="001C58AB"/>
    <w:rsid w:val="001C5F0C"/>
    <w:rsid w:val="001D1735"/>
    <w:rsid w:val="001D2CC2"/>
    <w:rsid w:val="001D327E"/>
    <w:rsid w:val="001D3561"/>
    <w:rsid w:val="001D4804"/>
    <w:rsid w:val="001D5C13"/>
    <w:rsid w:val="001D6FCD"/>
    <w:rsid w:val="001D7C15"/>
    <w:rsid w:val="001E0657"/>
    <w:rsid w:val="001E099A"/>
    <w:rsid w:val="001E0A12"/>
    <w:rsid w:val="001E1237"/>
    <w:rsid w:val="001E377F"/>
    <w:rsid w:val="001E3BBA"/>
    <w:rsid w:val="001E3C42"/>
    <w:rsid w:val="001E3FCD"/>
    <w:rsid w:val="001E4949"/>
    <w:rsid w:val="001E4A59"/>
    <w:rsid w:val="001E5DFD"/>
    <w:rsid w:val="001E6605"/>
    <w:rsid w:val="001E79C2"/>
    <w:rsid w:val="001F1D3E"/>
    <w:rsid w:val="001F2D4E"/>
    <w:rsid w:val="001F33EE"/>
    <w:rsid w:val="001F3939"/>
    <w:rsid w:val="001F4B0C"/>
    <w:rsid w:val="001F500E"/>
    <w:rsid w:val="001F50F2"/>
    <w:rsid w:val="001F6078"/>
    <w:rsid w:val="001F654F"/>
    <w:rsid w:val="001F7292"/>
    <w:rsid w:val="001F7669"/>
    <w:rsid w:val="002014AC"/>
    <w:rsid w:val="002023CB"/>
    <w:rsid w:val="00202674"/>
    <w:rsid w:val="00203164"/>
    <w:rsid w:val="00203AD5"/>
    <w:rsid w:val="00203D75"/>
    <w:rsid w:val="00204442"/>
    <w:rsid w:val="0020738A"/>
    <w:rsid w:val="00207CD4"/>
    <w:rsid w:val="00210324"/>
    <w:rsid w:val="00210631"/>
    <w:rsid w:val="00210C52"/>
    <w:rsid w:val="00210E09"/>
    <w:rsid w:val="00210E4A"/>
    <w:rsid w:val="00213990"/>
    <w:rsid w:val="00213DF2"/>
    <w:rsid w:val="00214A48"/>
    <w:rsid w:val="00214B6C"/>
    <w:rsid w:val="00215CFC"/>
    <w:rsid w:val="002160D2"/>
    <w:rsid w:val="00216235"/>
    <w:rsid w:val="00216F8C"/>
    <w:rsid w:val="00220984"/>
    <w:rsid w:val="00224CDD"/>
    <w:rsid w:val="00224E0B"/>
    <w:rsid w:val="00225B26"/>
    <w:rsid w:val="00225C6E"/>
    <w:rsid w:val="00226DDB"/>
    <w:rsid w:val="00226E4F"/>
    <w:rsid w:val="00231159"/>
    <w:rsid w:val="00231449"/>
    <w:rsid w:val="00231C4E"/>
    <w:rsid w:val="0023287B"/>
    <w:rsid w:val="00232F8C"/>
    <w:rsid w:val="00233976"/>
    <w:rsid w:val="002340F8"/>
    <w:rsid w:val="002356F6"/>
    <w:rsid w:val="00236581"/>
    <w:rsid w:val="00240797"/>
    <w:rsid w:val="00240AF7"/>
    <w:rsid w:val="00240B45"/>
    <w:rsid w:val="002413A0"/>
    <w:rsid w:val="002413E9"/>
    <w:rsid w:val="00241B89"/>
    <w:rsid w:val="00244492"/>
    <w:rsid w:val="00244EA5"/>
    <w:rsid w:val="002456F6"/>
    <w:rsid w:val="00245B75"/>
    <w:rsid w:val="002461AC"/>
    <w:rsid w:val="00246C89"/>
    <w:rsid w:val="0024715E"/>
    <w:rsid w:val="00253368"/>
    <w:rsid w:val="0025597E"/>
    <w:rsid w:val="002570BE"/>
    <w:rsid w:val="0026026E"/>
    <w:rsid w:val="0026342D"/>
    <w:rsid w:val="00265719"/>
    <w:rsid w:val="00265E36"/>
    <w:rsid w:val="00266209"/>
    <w:rsid w:val="002664A9"/>
    <w:rsid w:val="00270F7B"/>
    <w:rsid w:val="0027145D"/>
    <w:rsid w:val="00272323"/>
    <w:rsid w:val="00272337"/>
    <w:rsid w:val="00272CCF"/>
    <w:rsid w:val="0027424D"/>
    <w:rsid w:val="002743F9"/>
    <w:rsid w:val="00275445"/>
    <w:rsid w:val="00275F81"/>
    <w:rsid w:val="002764D1"/>
    <w:rsid w:val="00277B0C"/>
    <w:rsid w:val="002802C4"/>
    <w:rsid w:val="00280945"/>
    <w:rsid w:val="00281266"/>
    <w:rsid w:val="0028287D"/>
    <w:rsid w:val="00283042"/>
    <w:rsid w:val="00284257"/>
    <w:rsid w:val="00284D89"/>
    <w:rsid w:val="002854AF"/>
    <w:rsid w:val="002901AD"/>
    <w:rsid w:val="00290333"/>
    <w:rsid w:val="002904A5"/>
    <w:rsid w:val="0029051A"/>
    <w:rsid w:val="00291097"/>
    <w:rsid w:val="0029139F"/>
    <w:rsid w:val="002921AC"/>
    <w:rsid w:val="002926CA"/>
    <w:rsid w:val="00292B5C"/>
    <w:rsid w:val="00295468"/>
    <w:rsid w:val="00295842"/>
    <w:rsid w:val="00295A37"/>
    <w:rsid w:val="00296CA0"/>
    <w:rsid w:val="002A18EB"/>
    <w:rsid w:val="002A1F30"/>
    <w:rsid w:val="002A3250"/>
    <w:rsid w:val="002A3350"/>
    <w:rsid w:val="002A34D2"/>
    <w:rsid w:val="002A3EE4"/>
    <w:rsid w:val="002A4F53"/>
    <w:rsid w:val="002A54B2"/>
    <w:rsid w:val="002A6395"/>
    <w:rsid w:val="002B04FE"/>
    <w:rsid w:val="002B081D"/>
    <w:rsid w:val="002B1110"/>
    <w:rsid w:val="002B2B96"/>
    <w:rsid w:val="002B4763"/>
    <w:rsid w:val="002B5A8F"/>
    <w:rsid w:val="002B5C0D"/>
    <w:rsid w:val="002B5D8E"/>
    <w:rsid w:val="002C21D5"/>
    <w:rsid w:val="002C5BC2"/>
    <w:rsid w:val="002C5D25"/>
    <w:rsid w:val="002C79A5"/>
    <w:rsid w:val="002D0986"/>
    <w:rsid w:val="002D0F7E"/>
    <w:rsid w:val="002D0FCA"/>
    <w:rsid w:val="002D34BF"/>
    <w:rsid w:val="002D34DF"/>
    <w:rsid w:val="002D5842"/>
    <w:rsid w:val="002E25CB"/>
    <w:rsid w:val="002E2623"/>
    <w:rsid w:val="002E38D3"/>
    <w:rsid w:val="002E3BE9"/>
    <w:rsid w:val="002E5F64"/>
    <w:rsid w:val="002E6799"/>
    <w:rsid w:val="002E74EF"/>
    <w:rsid w:val="002E750A"/>
    <w:rsid w:val="002F0121"/>
    <w:rsid w:val="002F16F1"/>
    <w:rsid w:val="002F1DCB"/>
    <w:rsid w:val="002F1EBC"/>
    <w:rsid w:val="002F2079"/>
    <w:rsid w:val="002F264B"/>
    <w:rsid w:val="002F286A"/>
    <w:rsid w:val="002F3D7F"/>
    <w:rsid w:val="002F4E30"/>
    <w:rsid w:val="002F4EBD"/>
    <w:rsid w:val="002F6A3F"/>
    <w:rsid w:val="002F7420"/>
    <w:rsid w:val="002F798F"/>
    <w:rsid w:val="003010ED"/>
    <w:rsid w:val="003022AB"/>
    <w:rsid w:val="0030354F"/>
    <w:rsid w:val="00305806"/>
    <w:rsid w:val="00306300"/>
    <w:rsid w:val="00306596"/>
    <w:rsid w:val="0030693A"/>
    <w:rsid w:val="00310F3F"/>
    <w:rsid w:val="00311BF5"/>
    <w:rsid w:val="00311ECD"/>
    <w:rsid w:val="003128DC"/>
    <w:rsid w:val="0031445E"/>
    <w:rsid w:val="003148E4"/>
    <w:rsid w:val="00314A08"/>
    <w:rsid w:val="00314F87"/>
    <w:rsid w:val="003154FA"/>
    <w:rsid w:val="00315A5F"/>
    <w:rsid w:val="0031753A"/>
    <w:rsid w:val="003202D4"/>
    <w:rsid w:val="00321763"/>
    <w:rsid w:val="00321C38"/>
    <w:rsid w:val="003221AB"/>
    <w:rsid w:val="0032248C"/>
    <w:rsid w:val="003242F5"/>
    <w:rsid w:val="00324C74"/>
    <w:rsid w:val="0032533A"/>
    <w:rsid w:val="00325FBB"/>
    <w:rsid w:val="00326567"/>
    <w:rsid w:val="0032667D"/>
    <w:rsid w:val="0032681C"/>
    <w:rsid w:val="003300ED"/>
    <w:rsid w:val="00331A31"/>
    <w:rsid w:val="00332421"/>
    <w:rsid w:val="003326CC"/>
    <w:rsid w:val="00332D52"/>
    <w:rsid w:val="00333373"/>
    <w:rsid w:val="003337BD"/>
    <w:rsid w:val="0033420F"/>
    <w:rsid w:val="003342C3"/>
    <w:rsid w:val="00334F8B"/>
    <w:rsid w:val="003352B5"/>
    <w:rsid w:val="00335575"/>
    <w:rsid w:val="00335954"/>
    <w:rsid w:val="00335EAA"/>
    <w:rsid w:val="0033660D"/>
    <w:rsid w:val="00336BCF"/>
    <w:rsid w:val="00337662"/>
    <w:rsid w:val="003379E4"/>
    <w:rsid w:val="00337EA9"/>
    <w:rsid w:val="003407E7"/>
    <w:rsid w:val="00341052"/>
    <w:rsid w:val="00343A20"/>
    <w:rsid w:val="0034525B"/>
    <w:rsid w:val="003473E2"/>
    <w:rsid w:val="00350888"/>
    <w:rsid w:val="003508DC"/>
    <w:rsid w:val="00350A5A"/>
    <w:rsid w:val="00351379"/>
    <w:rsid w:val="00351572"/>
    <w:rsid w:val="003532CA"/>
    <w:rsid w:val="00356C6D"/>
    <w:rsid w:val="00356FE8"/>
    <w:rsid w:val="003573B3"/>
    <w:rsid w:val="00357B3B"/>
    <w:rsid w:val="00364F70"/>
    <w:rsid w:val="00365A36"/>
    <w:rsid w:val="00365F8A"/>
    <w:rsid w:val="00367DB5"/>
    <w:rsid w:val="00370789"/>
    <w:rsid w:val="00370B23"/>
    <w:rsid w:val="00370D5B"/>
    <w:rsid w:val="00370DB9"/>
    <w:rsid w:val="00372353"/>
    <w:rsid w:val="00372DA3"/>
    <w:rsid w:val="0037469D"/>
    <w:rsid w:val="00375D66"/>
    <w:rsid w:val="003764AA"/>
    <w:rsid w:val="00376A75"/>
    <w:rsid w:val="00376CD6"/>
    <w:rsid w:val="00380ABE"/>
    <w:rsid w:val="003823AD"/>
    <w:rsid w:val="00383BED"/>
    <w:rsid w:val="003841D0"/>
    <w:rsid w:val="0038672E"/>
    <w:rsid w:val="00386AC6"/>
    <w:rsid w:val="0039019C"/>
    <w:rsid w:val="003939A6"/>
    <w:rsid w:val="00393E36"/>
    <w:rsid w:val="003943CF"/>
    <w:rsid w:val="00394554"/>
    <w:rsid w:val="00395221"/>
    <w:rsid w:val="00396DD8"/>
    <w:rsid w:val="00396FF2"/>
    <w:rsid w:val="00397853"/>
    <w:rsid w:val="00397FB2"/>
    <w:rsid w:val="003A044B"/>
    <w:rsid w:val="003A12E9"/>
    <w:rsid w:val="003A279F"/>
    <w:rsid w:val="003A2DFB"/>
    <w:rsid w:val="003A5FE6"/>
    <w:rsid w:val="003A674C"/>
    <w:rsid w:val="003B11CE"/>
    <w:rsid w:val="003B24DC"/>
    <w:rsid w:val="003B3BAC"/>
    <w:rsid w:val="003B4830"/>
    <w:rsid w:val="003B607A"/>
    <w:rsid w:val="003B6470"/>
    <w:rsid w:val="003B78C7"/>
    <w:rsid w:val="003C12C0"/>
    <w:rsid w:val="003C2FC3"/>
    <w:rsid w:val="003C46BB"/>
    <w:rsid w:val="003C49E9"/>
    <w:rsid w:val="003C5983"/>
    <w:rsid w:val="003C5EB6"/>
    <w:rsid w:val="003C714E"/>
    <w:rsid w:val="003C78F6"/>
    <w:rsid w:val="003C79A2"/>
    <w:rsid w:val="003D07CE"/>
    <w:rsid w:val="003D310D"/>
    <w:rsid w:val="003D3E51"/>
    <w:rsid w:val="003D4123"/>
    <w:rsid w:val="003D5327"/>
    <w:rsid w:val="003D55F7"/>
    <w:rsid w:val="003D6306"/>
    <w:rsid w:val="003D71C6"/>
    <w:rsid w:val="003E0414"/>
    <w:rsid w:val="003E29BE"/>
    <w:rsid w:val="003E3017"/>
    <w:rsid w:val="003E45A1"/>
    <w:rsid w:val="003E4D33"/>
    <w:rsid w:val="003E4D8F"/>
    <w:rsid w:val="003E5CDE"/>
    <w:rsid w:val="003E6311"/>
    <w:rsid w:val="003E7332"/>
    <w:rsid w:val="003E7BB4"/>
    <w:rsid w:val="003F0928"/>
    <w:rsid w:val="003F0CBD"/>
    <w:rsid w:val="003F11DF"/>
    <w:rsid w:val="003F26F4"/>
    <w:rsid w:val="003F276B"/>
    <w:rsid w:val="003F444C"/>
    <w:rsid w:val="003F5034"/>
    <w:rsid w:val="003F7359"/>
    <w:rsid w:val="004003E5"/>
    <w:rsid w:val="00400765"/>
    <w:rsid w:val="00401071"/>
    <w:rsid w:val="00402C3A"/>
    <w:rsid w:val="00402E7A"/>
    <w:rsid w:val="004042FA"/>
    <w:rsid w:val="0040456B"/>
    <w:rsid w:val="004046A1"/>
    <w:rsid w:val="004046F9"/>
    <w:rsid w:val="00405702"/>
    <w:rsid w:val="00406DDF"/>
    <w:rsid w:val="00411CA9"/>
    <w:rsid w:val="00412E06"/>
    <w:rsid w:val="004135B6"/>
    <w:rsid w:val="00415D3B"/>
    <w:rsid w:val="004160AA"/>
    <w:rsid w:val="00417E29"/>
    <w:rsid w:val="00417E6B"/>
    <w:rsid w:val="0042404F"/>
    <w:rsid w:val="004250DD"/>
    <w:rsid w:val="00425A29"/>
    <w:rsid w:val="004266CF"/>
    <w:rsid w:val="004269B3"/>
    <w:rsid w:val="004277E0"/>
    <w:rsid w:val="0042799C"/>
    <w:rsid w:val="004301F2"/>
    <w:rsid w:val="00432659"/>
    <w:rsid w:val="00434179"/>
    <w:rsid w:val="00434727"/>
    <w:rsid w:val="0043743D"/>
    <w:rsid w:val="0043753E"/>
    <w:rsid w:val="0043789F"/>
    <w:rsid w:val="00440479"/>
    <w:rsid w:val="00440B2D"/>
    <w:rsid w:val="004418F9"/>
    <w:rsid w:val="004439EF"/>
    <w:rsid w:val="00443CF1"/>
    <w:rsid w:val="00444416"/>
    <w:rsid w:val="00445B19"/>
    <w:rsid w:val="004461C3"/>
    <w:rsid w:val="004472F6"/>
    <w:rsid w:val="00447E65"/>
    <w:rsid w:val="00447FF7"/>
    <w:rsid w:val="004500CD"/>
    <w:rsid w:val="0045124F"/>
    <w:rsid w:val="0045164B"/>
    <w:rsid w:val="00451FAC"/>
    <w:rsid w:val="004526D6"/>
    <w:rsid w:val="004535C6"/>
    <w:rsid w:val="004543F1"/>
    <w:rsid w:val="0045608F"/>
    <w:rsid w:val="004566CB"/>
    <w:rsid w:val="0045720B"/>
    <w:rsid w:val="00457224"/>
    <w:rsid w:val="004572D1"/>
    <w:rsid w:val="00460F13"/>
    <w:rsid w:val="00460F41"/>
    <w:rsid w:val="0046119F"/>
    <w:rsid w:val="00463079"/>
    <w:rsid w:val="00463485"/>
    <w:rsid w:val="004639FA"/>
    <w:rsid w:val="00463B24"/>
    <w:rsid w:val="0046543F"/>
    <w:rsid w:val="00465DAA"/>
    <w:rsid w:val="004664B4"/>
    <w:rsid w:val="00466588"/>
    <w:rsid w:val="00466679"/>
    <w:rsid w:val="0046774B"/>
    <w:rsid w:val="00470C3F"/>
    <w:rsid w:val="00470CA4"/>
    <w:rsid w:val="00471A5F"/>
    <w:rsid w:val="00472F29"/>
    <w:rsid w:val="004730AD"/>
    <w:rsid w:val="0047456E"/>
    <w:rsid w:val="00474C86"/>
    <w:rsid w:val="0047514B"/>
    <w:rsid w:val="004755A3"/>
    <w:rsid w:val="004756C5"/>
    <w:rsid w:val="004763E5"/>
    <w:rsid w:val="00476B0D"/>
    <w:rsid w:val="004771D0"/>
    <w:rsid w:val="00480CCE"/>
    <w:rsid w:val="00483FC7"/>
    <w:rsid w:val="00484FA8"/>
    <w:rsid w:val="00486886"/>
    <w:rsid w:val="00490FCD"/>
    <w:rsid w:val="0049171E"/>
    <w:rsid w:val="0049231C"/>
    <w:rsid w:val="00493C29"/>
    <w:rsid w:val="00494CA1"/>
    <w:rsid w:val="00494D21"/>
    <w:rsid w:val="00494D50"/>
    <w:rsid w:val="004959B2"/>
    <w:rsid w:val="00496132"/>
    <w:rsid w:val="004966A5"/>
    <w:rsid w:val="004A078B"/>
    <w:rsid w:val="004A1152"/>
    <w:rsid w:val="004A1420"/>
    <w:rsid w:val="004A18E0"/>
    <w:rsid w:val="004A233F"/>
    <w:rsid w:val="004A2ED3"/>
    <w:rsid w:val="004A49F3"/>
    <w:rsid w:val="004A53C9"/>
    <w:rsid w:val="004A7CB3"/>
    <w:rsid w:val="004A7F56"/>
    <w:rsid w:val="004B078C"/>
    <w:rsid w:val="004B21DF"/>
    <w:rsid w:val="004B360E"/>
    <w:rsid w:val="004B4E86"/>
    <w:rsid w:val="004B50B7"/>
    <w:rsid w:val="004B695F"/>
    <w:rsid w:val="004B6F05"/>
    <w:rsid w:val="004B75F0"/>
    <w:rsid w:val="004C181F"/>
    <w:rsid w:val="004C2629"/>
    <w:rsid w:val="004C27CD"/>
    <w:rsid w:val="004C2912"/>
    <w:rsid w:val="004C33DD"/>
    <w:rsid w:val="004C407B"/>
    <w:rsid w:val="004C43C0"/>
    <w:rsid w:val="004C45BB"/>
    <w:rsid w:val="004C5890"/>
    <w:rsid w:val="004C5E93"/>
    <w:rsid w:val="004C605E"/>
    <w:rsid w:val="004C6A7B"/>
    <w:rsid w:val="004C7536"/>
    <w:rsid w:val="004C76FE"/>
    <w:rsid w:val="004C7B6D"/>
    <w:rsid w:val="004C7E1F"/>
    <w:rsid w:val="004C7F15"/>
    <w:rsid w:val="004D17D1"/>
    <w:rsid w:val="004D1A99"/>
    <w:rsid w:val="004D434D"/>
    <w:rsid w:val="004D506F"/>
    <w:rsid w:val="004D5829"/>
    <w:rsid w:val="004D609D"/>
    <w:rsid w:val="004D63A1"/>
    <w:rsid w:val="004D671E"/>
    <w:rsid w:val="004D6CA1"/>
    <w:rsid w:val="004D7510"/>
    <w:rsid w:val="004E0C94"/>
    <w:rsid w:val="004E174A"/>
    <w:rsid w:val="004E1A8F"/>
    <w:rsid w:val="004E2E1C"/>
    <w:rsid w:val="004E2FAA"/>
    <w:rsid w:val="004E311F"/>
    <w:rsid w:val="004E3F0C"/>
    <w:rsid w:val="004E67B0"/>
    <w:rsid w:val="004E7F75"/>
    <w:rsid w:val="004F148C"/>
    <w:rsid w:val="004F1D67"/>
    <w:rsid w:val="004F2777"/>
    <w:rsid w:val="004F3130"/>
    <w:rsid w:val="004F40FA"/>
    <w:rsid w:val="004F4118"/>
    <w:rsid w:val="004F4247"/>
    <w:rsid w:val="004F455F"/>
    <w:rsid w:val="004F4B2C"/>
    <w:rsid w:val="004F5283"/>
    <w:rsid w:val="004F5563"/>
    <w:rsid w:val="004F5CEA"/>
    <w:rsid w:val="004F673D"/>
    <w:rsid w:val="004F75AE"/>
    <w:rsid w:val="00500CA4"/>
    <w:rsid w:val="00500EAD"/>
    <w:rsid w:val="00501DA5"/>
    <w:rsid w:val="0050513B"/>
    <w:rsid w:val="0050578F"/>
    <w:rsid w:val="00505B8A"/>
    <w:rsid w:val="005066D1"/>
    <w:rsid w:val="005131C0"/>
    <w:rsid w:val="00514813"/>
    <w:rsid w:val="00514B66"/>
    <w:rsid w:val="00516DAE"/>
    <w:rsid w:val="00516DCD"/>
    <w:rsid w:val="005202B9"/>
    <w:rsid w:val="00521E82"/>
    <w:rsid w:val="0052311B"/>
    <w:rsid w:val="005235F8"/>
    <w:rsid w:val="00523854"/>
    <w:rsid w:val="00524532"/>
    <w:rsid w:val="005253F4"/>
    <w:rsid w:val="00525749"/>
    <w:rsid w:val="00526430"/>
    <w:rsid w:val="00527A27"/>
    <w:rsid w:val="00527F85"/>
    <w:rsid w:val="005305FD"/>
    <w:rsid w:val="00531351"/>
    <w:rsid w:val="005318D7"/>
    <w:rsid w:val="00532427"/>
    <w:rsid w:val="00533A55"/>
    <w:rsid w:val="00533BD1"/>
    <w:rsid w:val="005340E1"/>
    <w:rsid w:val="005344C0"/>
    <w:rsid w:val="00534927"/>
    <w:rsid w:val="00537207"/>
    <w:rsid w:val="0054098A"/>
    <w:rsid w:val="00541647"/>
    <w:rsid w:val="005432EC"/>
    <w:rsid w:val="00544F6C"/>
    <w:rsid w:val="00545475"/>
    <w:rsid w:val="005462EF"/>
    <w:rsid w:val="005463AB"/>
    <w:rsid w:val="005472C2"/>
    <w:rsid w:val="0054760D"/>
    <w:rsid w:val="00547C22"/>
    <w:rsid w:val="005528A3"/>
    <w:rsid w:val="00553D72"/>
    <w:rsid w:val="00553ED9"/>
    <w:rsid w:val="00554552"/>
    <w:rsid w:val="00557193"/>
    <w:rsid w:val="005600EA"/>
    <w:rsid w:val="0056064A"/>
    <w:rsid w:val="005610F6"/>
    <w:rsid w:val="00561C07"/>
    <w:rsid w:val="005626CD"/>
    <w:rsid w:val="005627B7"/>
    <w:rsid w:val="005632BB"/>
    <w:rsid w:val="00563A0E"/>
    <w:rsid w:val="00563D5B"/>
    <w:rsid w:val="00563E22"/>
    <w:rsid w:val="005645CB"/>
    <w:rsid w:val="00564679"/>
    <w:rsid w:val="0056525F"/>
    <w:rsid w:val="0056749C"/>
    <w:rsid w:val="005674EB"/>
    <w:rsid w:val="00571A46"/>
    <w:rsid w:val="00571E08"/>
    <w:rsid w:val="0057334F"/>
    <w:rsid w:val="005736E2"/>
    <w:rsid w:val="005739A6"/>
    <w:rsid w:val="00573BC9"/>
    <w:rsid w:val="00574308"/>
    <w:rsid w:val="0057525E"/>
    <w:rsid w:val="005763DE"/>
    <w:rsid w:val="00576923"/>
    <w:rsid w:val="00576D1C"/>
    <w:rsid w:val="00581CF6"/>
    <w:rsid w:val="00582312"/>
    <w:rsid w:val="00582353"/>
    <w:rsid w:val="00583047"/>
    <w:rsid w:val="005832E1"/>
    <w:rsid w:val="00583417"/>
    <w:rsid w:val="005848C6"/>
    <w:rsid w:val="00586355"/>
    <w:rsid w:val="00590154"/>
    <w:rsid w:val="00590C97"/>
    <w:rsid w:val="0059182F"/>
    <w:rsid w:val="00592105"/>
    <w:rsid w:val="0059220F"/>
    <w:rsid w:val="005930C0"/>
    <w:rsid w:val="005935CB"/>
    <w:rsid w:val="005937F1"/>
    <w:rsid w:val="0059413E"/>
    <w:rsid w:val="005960A1"/>
    <w:rsid w:val="005967B1"/>
    <w:rsid w:val="00597090"/>
    <w:rsid w:val="00597D62"/>
    <w:rsid w:val="005A0871"/>
    <w:rsid w:val="005A0888"/>
    <w:rsid w:val="005A0C07"/>
    <w:rsid w:val="005A1038"/>
    <w:rsid w:val="005A138F"/>
    <w:rsid w:val="005A1E66"/>
    <w:rsid w:val="005A2658"/>
    <w:rsid w:val="005A2C03"/>
    <w:rsid w:val="005A3765"/>
    <w:rsid w:val="005A3825"/>
    <w:rsid w:val="005A4B2F"/>
    <w:rsid w:val="005A681F"/>
    <w:rsid w:val="005A705E"/>
    <w:rsid w:val="005A7611"/>
    <w:rsid w:val="005A7771"/>
    <w:rsid w:val="005A7D3B"/>
    <w:rsid w:val="005A7E30"/>
    <w:rsid w:val="005B142B"/>
    <w:rsid w:val="005B1496"/>
    <w:rsid w:val="005B3BA9"/>
    <w:rsid w:val="005B4C70"/>
    <w:rsid w:val="005B66E6"/>
    <w:rsid w:val="005B6C61"/>
    <w:rsid w:val="005C0B6A"/>
    <w:rsid w:val="005C0FE6"/>
    <w:rsid w:val="005C1C03"/>
    <w:rsid w:val="005C1F41"/>
    <w:rsid w:val="005C2FBC"/>
    <w:rsid w:val="005C31DA"/>
    <w:rsid w:val="005C5356"/>
    <w:rsid w:val="005C5471"/>
    <w:rsid w:val="005C6E01"/>
    <w:rsid w:val="005C7E92"/>
    <w:rsid w:val="005D015D"/>
    <w:rsid w:val="005D0250"/>
    <w:rsid w:val="005D0724"/>
    <w:rsid w:val="005D0B43"/>
    <w:rsid w:val="005D187A"/>
    <w:rsid w:val="005D392C"/>
    <w:rsid w:val="005D393F"/>
    <w:rsid w:val="005D3E57"/>
    <w:rsid w:val="005D520F"/>
    <w:rsid w:val="005D527B"/>
    <w:rsid w:val="005D62AF"/>
    <w:rsid w:val="005D66E3"/>
    <w:rsid w:val="005D7B8B"/>
    <w:rsid w:val="005E1C11"/>
    <w:rsid w:val="005E2342"/>
    <w:rsid w:val="005E37CB"/>
    <w:rsid w:val="005E3897"/>
    <w:rsid w:val="005E47F0"/>
    <w:rsid w:val="005E57A7"/>
    <w:rsid w:val="005E69C8"/>
    <w:rsid w:val="005F2A67"/>
    <w:rsid w:val="005F4090"/>
    <w:rsid w:val="005F42B2"/>
    <w:rsid w:val="005F4499"/>
    <w:rsid w:val="005F52C8"/>
    <w:rsid w:val="005F5980"/>
    <w:rsid w:val="005F59BD"/>
    <w:rsid w:val="005F5C75"/>
    <w:rsid w:val="005F5EFA"/>
    <w:rsid w:val="005F7F97"/>
    <w:rsid w:val="00602035"/>
    <w:rsid w:val="006027A0"/>
    <w:rsid w:val="00602BAA"/>
    <w:rsid w:val="0060316F"/>
    <w:rsid w:val="00603834"/>
    <w:rsid w:val="00603986"/>
    <w:rsid w:val="00604797"/>
    <w:rsid w:val="00604B1C"/>
    <w:rsid w:val="00604C0A"/>
    <w:rsid w:val="00604CE7"/>
    <w:rsid w:val="00604EAD"/>
    <w:rsid w:val="006058A4"/>
    <w:rsid w:val="0060597D"/>
    <w:rsid w:val="00605D6B"/>
    <w:rsid w:val="00605F1A"/>
    <w:rsid w:val="00606BCD"/>
    <w:rsid w:val="0060773F"/>
    <w:rsid w:val="00607AE1"/>
    <w:rsid w:val="00611ACD"/>
    <w:rsid w:val="0061232D"/>
    <w:rsid w:val="0061290B"/>
    <w:rsid w:val="00613144"/>
    <w:rsid w:val="00614A70"/>
    <w:rsid w:val="006169D7"/>
    <w:rsid w:val="0061745E"/>
    <w:rsid w:val="006210FC"/>
    <w:rsid w:val="0062155E"/>
    <w:rsid w:val="00623527"/>
    <w:rsid w:val="00624C20"/>
    <w:rsid w:val="00625273"/>
    <w:rsid w:val="0063110B"/>
    <w:rsid w:val="006355D3"/>
    <w:rsid w:val="00635AA3"/>
    <w:rsid w:val="0064073E"/>
    <w:rsid w:val="006411AA"/>
    <w:rsid w:val="00641B72"/>
    <w:rsid w:val="00642399"/>
    <w:rsid w:val="00642BE6"/>
    <w:rsid w:val="006449A5"/>
    <w:rsid w:val="0064551F"/>
    <w:rsid w:val="00645DB9"/>
    <w:rsid w:val="00646612"/>
    <w:rsid w:val="006504F7"/>
    <w:rsid w:val="00651112"/>
    <w:rsid w:val="00651BCE"/>
    <w:rsid w:val="0065351F"/>
    <w:rsid w:val="006535CA"/>
    <w:rsid w:val="00653863"/>
    <w:rsid w:val="006538B3"/>
    <w:rsid w:val="00654174"/>
    <w:rsid w:val="006550C2"/>
    <w:rsid w:val="0065597A"/>
    <w:rsid w:val="00656C90"/>
    <w:rsid w:val="00657FFB"/>
    <w:rsid w:val="00661DE2"/>
    <w:rsid w:val="006622BB"/>
    <w:rsid w:val="00663683"/>
    <w:rsid w:val="006644CB"/>
    <w:rsid w:val="00664E56"/>
    <w:rsid w:val="00666C47"/>
    <w:rsid w:val="00667670"/>
    <w:rsid w:val="00667D9B"/>
    <w:rsid w:val="0067260F"/>
    <w:rsid w:val="00673CD7"/>
    <w:rsid w:val="00674F53"/>
    <w:rsid w:val="00674FB0"/>
    <w:rsid w:val="00676134"/>
    <w:rsid w:val="0067698E"/>
    <w:rsid w:val="00676F4A"/>
    <w:rsid w:val="00677433"/>
    <w:rsid w:val="006803A4"/>
    <w:rsid w:val="00680525"/>
    <w:rsid w:val="006805AC"/>
    <w:rsid w:val="006805D2"/>
    <w:rsid w:val="0068071A"/>
    <w:rsid w:val="00680D80"/>
    <w:rsid w:val="00681135"/>
    <w:rsid w:val="006819C7"/>
    <w:rsid w:val="00682E1A"/>
    <w:rsid w:val="006838EA"/>
    <w:rsid w:val="00684305"/>
    <w:rsid w:val="0068492B"/>
    <w:rsid w:val="00684A53"/>
    <w:rsid w:val="00684EE3"/>
    <w:rsid w:val="00685283"/>
    <w:rsid w:val="00685D33"/>
    <w:rsid w:val="0068617C"/>
    <w:rsid w:val="00690280"/>
    <w:rsid w:val="0069151C"/>
    <w:rsid w:val="00693408"/>
    <w:rsid w:val="00693747"/>
    <w:rsid w:val="00693F95"/>
    <w:rsid w:val="00694DC3"/>
    <w:rsid w:val="00695164"/>
    <w:rsid w:val="00697372"/>
    <w:rsid w:val="006A00C7"/>
    <w:rsid w:val="006A03D2"/>
    <w:rsid w:val="006A2093"/>
    <w:rsid w:val="006A2475"/>
    <w:rsid w:val="006A46E3"/>
    <w:rsid w:val="006A61AA"/>
    <w:rsid w:val="006A6893"/>
    <w:rsid w:val="006A69A9"/>
    <w:rsid w:val="006A7322"/>
    <w:rsid w:val="006A7D08"/>
    <w:rsid w:val="006B085B"/>
    <w:rsid w:val="006B1D27"/>
    <w:rsid w:val="006B26DB"/>
    <w:rsid w:val="006B3FD1"/>
    <w:rsid w:val="006B4ED2"/>
    <w:rsid w:val="006B658D"/>
    <w:rsid w:val="006C2A1F"/>
    <w:rsid w:val="006C3EF2"/>
    <w:rsid w:val="006C6573"/>
    <w:rsid w:val="006C6630"/>
    <w:rsid w:val="006C729D"/>
    <w:rsid w:val="006D0518"/>
    <w:rsid w:val="006D079E"/>
    <w:rsid w:val="006D082E"/>
    <w:rsid w:val="006D0992"/>
    <w:rsid w:val="006D0D6A"/>
    <w:rsid w:val="006D0ED4"/>
    <w:rsid w:val="006D1617"/>
    <w:rsid w:val="006D4371"/>
    <w:rsid w:val="006D4BC1"/>
    <w:rsid w:val="006D5828"/>
    <w:rsid w:val="006D5E52"/>
    <w:rsid w:val="006D6A04"/>
    <w:rsid w:val="006D7344"/>
    <w:rsid w:val="006D7EA9"/>
    <w:rsid w:val="006E215B"/>
    <w:rsid w:val="006E2224"/>
    <w:rsid w:val="006E501F"/>
    <w:rsid w:val="006E5730"/>
    <w:rsid w:val="006E5765"/>
    <w:rsid w:val="006E7594"/>
    <w:rsid w:val="006F04B0"/>
    <w:rsid w:val="006F0D55"/>
    <w:rsid w:val="006F1041"/>
    <w:rsid w:val="006F27D0"/>
    <w:rsid w:val="006F308F"/>
    <w:rsid w:val="006F50D1"/>
    <w:rsid w:val="006F630D"/>
    <w:rsid w:val="006F685C"/>
    <w:rsid w:val="006F77C2"/>
    <w:rsid w:val="006F7AF6"/>
    <w:rsid w:val="007001E2"/>
    <w:rsid w:val="00700CB6"/>
    <w:rsid w:val="00701A8F"/>
    <w:rsid w:val="00702D72"/>
    <w:rsid w:val="00703F53"/>
    <w:rsid w:val="0070462B"/>
    <w:rsid w:val="007047E6"/>
    <w:rsid w:val="007048B8"/>
    <w:rsid w:val="00707054"/>
    <w:rsid w:val="007105FD"/>
    <w:rsid w:val="007109F7"/>
    <w:rsid w:val="00711D86"/>
    <w:rsid w:val="00712A59"/>
    <w:rsid w:val="00712FD0"/>
    <w:rsid w:val="00714B0A"/>
    <w:rsid w:val="00715CF0"/>
    <w:rsid w:val="00716946"/>
    <w:rsid w:val="00717D5F"/>
    <w:rsid w:val="007202F7"/>
    <w:rsid w:val="00721E46"/>
    <w:rsid w:val="00721F8C"/>
    <w:rsid w:val="00723C64"/>
    <w:rsid w:val="00725766"/>
    <w:rsid w:val="00726517"/>
    <w:rsid w:val="00726DEF"/>
    <w:rsid w:val="00727483"/>
    <w:rsid w:val="007305D3"/>
    <w:rsid w:val="0073265E"/>
    <w:rsid w:val="00733344"/>
    <w:rsid w:val="007349C4"/>
    <w:rsid w:val="00734AED"/>
    <w:rsid w:val="00734BE7"/>
    <w:rsid w:val="00734C52"/>
    <w:rsid w:val="00734D34"/>
    <w:rsid w:val="007353B0"/>
    <w:rsid w:val="00736A59"/>
    <w:rsid w:val="00736D2C"/>
    <w:rsid w:val="00737905"/>
    <w:rsid w:val="00741B3B"/>
    <w:rsid w:val="0074234B"/>
    <w:rsid w:val="00742B7A"/>
    <w:rsid w:val="00745B73"/>
    <w:rsid w:val="00747003"/>
    <w:rsid w:val="0075093B"/>
    <w:rsid w:val="00750D11"/>
    <w:rsid w:val="00751322"/>
    <w:rsid w:val="00751B78"/>
    <w:rsid w:val="00751F89"/>
    <w:rsid w:val="007538DC"/>
    <w:rsid w:val="007544D4"/>
    <w:rsid w:val="00755870"/>
    <w:rsid w:val="00755FCC"/>
    <w:rsid w:val="0075621B"/>
    <w:rsid w:val="0075641F"/>
    <w:rsid w:val="00757815"/>
    <w:rsid w:val="00760D6C"/>
    <w:rsid w:val="007616A0"/>
    <w:rsid w:val="00762FBC"/>
    <w:rsid w:val="0076300F"/>
    <w:rsid w:val="00763CBA"/>
    <w:rsid w:val="00763EDC"/>
    <w:rsid w:val="00764179"/>
    <w:rsid w:val="00765020"/>
    <w:rsid w:val="00765F19"/>
    <w:rsid w:val="0076683D"/>
    <w:rsid w:val="00766F31"/>
    <w:rsid w:val="007709B5"/>
    <w:rsid w:val="00772CBA"/>
    <w:rsid w:val="007732C4"/>
    <w:rsid w:val="00773F1B"/>
    <w:rsid w:val="0077576E"/>
    <w:rsid w:val="007768C6"/>
    <w:rsid w:val="0078001E"/>
    <w:rsid w:val="007808D0"/>
    <w:rsid w:val="00780E5C"/>
    <w:rsid w:val="00781602"/>
    <w:rsid w:val="00781A5F"/>
    <w:rsid w:val="00782C3B"/>
    <w:rsid w:val="00782CD7"/>
    <w:rsid w:val="00783E95"/>
    <w:rsid w:val="00784454"/>
    <w:rsid w:val="00784568"/>
    <w:rsid w:val="00784DAA"/>
    <w:rsid w:val="007851A7"/>
    <w:rsid w:val="00785E61"/>
    <w:rsid w:val="0078719D"/>
    <w:rsid w:val="0078738E"/>
    <w:rsid w:val="007875AE"/>
    <w:rsid w:val="00790738"/>
    <w:rsid w:val="00791123"/>
    <w:rsid w:val="007913D0"/>
    <w:rsid w:val="0079264F"/>
    <w:rsid w:val="00792B8D"/>
    <w:rsid w:val="00792D47"/>
    <w:rsid w:val="00794DA1"/>
    <w:rsid w:val="007963B0"/>
    <w:rsid w:val="007A036E"/>
    <w:rsid w:val="007A1904"/>
    <w:rsid w:val="007A23F3"/>
    <w:rsid w:val="007A3638"/>
    <w:rsid w:val="007A43E8"/>
    <w:rsid w:val="007A4650"/>
    <w:rsid w:val="007A4E86"/>
    <w:rsid w:val="007A66A7"/>
    <w:rsid w:val="007A67A7"/>
    <w:rsid w:val="007A774D"/>
    <w:rsid w:val="007B0E17"/>
    <w:rsid w:val="007B14B5"/>
    <w:rsid w:val="007B3C48"/>
    <w:rsid w:val="007B437C"/>
    <w:rsid w:val="007B6208"/>
    <w:rsid w:val="007B7DB5"/>
    <w:rsid w:val="007C0379"/>
    <w:rsid w:val="007C0ACF"/>
    <w:rsid w:val="007C1229"/>
    <w:rsid w:val="007C143A"/>
    <w:rsid w:val="007C19EE"/>
    <w:rsid w:val="007C5369"/>
    <w:rsid w:val="007C5D09"/>
    <w:rsid w:val="007C6310"/>
    <w:rsid w:val="007C7177"/>
    <w:rsid w:val="007C79FD"/>
    <w:rsid w:val="007D003D"/>
    <w:rsid w:val="007D0F1D"/>
    <w:rsid w:val="007D2D47"/>
    <w:rsid w:val="007D35A8"/>
    <w:rsid w:val="007D3779"/>
    <w:rsid w:val="007D42A1"/>
    <w:rsid w:val="007E1098"/>
    <w:rsid w:val="007E40A0"/>
    <w:rsid w:val="007E66C6"/>
    <w:rsid w:val="007E699C"/>
    <w:rsid w:val="007E7365"/>
    <w:rsid w:val="007E7711"/>
    <w:rsid w:val="007F211E"/>
    <w:rsid w:val="007F6466"/>
    <w:rsid w:val="007F667D"/>
    <w:rsid w:val="007F7455"/>
    <w:rsid w:val="0080037E"/>
    <w:rsid w:val="008003A1"/>
    <w:rsid w:val="0080085F"/>
    <w:rsid w:val="00801E95"/>
    <w:rsid w:val="00806DED"/>
    <w:rsid w:val="00810D84"/>
    <w:rsid w:val="008115B5"/>
    <w:rsid w:val="00813EAB"/>
    <w:rsid w:val="0081415D"/>
    <w:rsid w:val="00814CAC"/>
    <w:rsid w:val="008159B4"/>
    <w:rsid w:val="00816BE7"/>
    <w:rsid w:val="008174CE"/>
    <w:rsid w:val="00817632"/>
    <w:rsid w:val="00817808"/>
    <w:rsid w:val="0081797E"/>
    <w:rsid w:val="00820A8D"/>
    <w:rsid w:val="0082169F"/>
    <w:rsid w:val="00821752"/>
    <w:rsid w:val="0082311C"/>
    <w:rsid w:val="008231E4"/>
    <w:rsid w:val="008242B4"/>
    <w:rsid w:val="00825A3F"/>
    <w:rsid w:val="00826C11"/>
    <w:rsid w:val="00830FF4"/>
    <w:rsid w:val="0083162F"/>
    <w:rsid w:val="00832B12"/>
    <w:rsid w:val="00833588"/>
    <w:rsid w:val="00834EE8"/>
    <w:rsid w:val="008353C4"/>
    <w:rsid w:val="00836299"/>
    <w:rsid w:val="0083689C"/>
    <w:rsid w:val="00840FE7"/>
    <w:rsid w:val="008410E6"/>
    <w:rsid w:val="008418E4"/>
    <w:rsid w:val="00841968"/>
    <w:rsid w:val="00841C26"/>
    <w:rsid w:val="00842265"/>
    <w:rsid w:val="00842571"/>
    <w:rsid w:val="00842FD8"/>
    <w:rsid w:val="00843A04"/>
    <w:rsid w:val="0084457A"/>
    <w:rsid w:val="008445FB"/>
    <w:rsid w:val="00844925"/>
    <w:rsid w:val="00845AD5"/>
    <w:rsid w:val="008467ED"/>
    <w:rsid w:val="00850A36"/>
    <w:rsid w:val="008515E0"/>
    <w:rsid w:val="00851664"/>
    <w:rsid w:val="0085229F"/>
    <w:rsid w:val="0085271E"/>
    <w:rsid w:val="00853F97"/>
    <w:rsid w:val="008543D5"/>
    <w:rsid w:val="0085559C"/>
    <w:rsid w:val="00855CF4"/>
    <w:rsid w:val="008601D6"/>
    <w:rsid w:val="0086324C"/>
    <w:rsid w:val="00863B03"/>
    <w:rsid w:val="008642E1"/>
    <w:rsid w:val="008649F4"/>
    <w:rsid w:val="00864F20"/>
    <w:rsid w:val="0086597B"/>
    <w:rsid w:val="00867892"/>
    <w:rsid w:val="008679BC"/>
    <w:rsid w:val="00872744"/>
    <w:rsid w:val="00880783"/>
    <w:rsid w:val="00881923"/>
    <w:rsid w:val="00882399"/>
    <w:rsid w:val="00882795"/>
    <w:rsid w:val="008845C9"/>
    <w:rsid w:val="008850F1"/>
    <w:rsid w:val="00885445"/>
    <w:rsid w:val="008859AE"/>
    <w:rsid w:val="00890033"/>
    <w:rsid w:val="00890390"/>
    <w:rsid w:val="00890D5A"/>
    <w:rsid w:val="0089564C"/>
    <w:rsid w:val="0089707D"/>
    <w:rsid w:val="0089777E"/>
    <w:rsid w:val="00897889"/>
    <w:rsid w:val="008A059B"/>
    <w:rsid w:val="008A0F27"/>
    <w:rsid w:val="008A1778"/>
    <w:rsid w:val="008A3A28"/>
    <w:rsid w:val="008A59F3"/>
    <w:rsid w:val="008A61A8"/>
    <w:rsid w:val="008A6751"/>
    <w:rsid w:val="008A7C2A"/>
    <w:rsid w:val="008A7F32"/>
    <w:rsid w:val="008B1E9F"/>
    <w:rsid w:val="008B26D0"/>
    <w:rsid w:val="008B364F"/>
    <w:rsid w:val="008B3854"/>
    <w:rsid w:val="008B419F"/>
    <w:rsid w:val="008B6206"/>
    <w:rsid w:val="008B7463"/>
    <w:rsid w:val="008C3A17"/>
    <w:rsid w:val="008C536A"/>
    <w:rsid w:val="008C5E08"/>
    <w:rsid w:val="008C6A93"/>
    <w:rsid w:val="008C78ED"/>
    <w:rsid w:val="008D026A"/>
    <w:rsid w:val="008D0272"/>
    <w:rsid w:val="008D0BDC"/>
    <w:rsid w:val="008D1CEA"/>
    <w:rsid w:val="008D1F33"/>
    <w:rsid w:val="008D2018"/>
    <w:rsid w:val="008D201E"/>
    <w:rsid w:val="008D26BE"/>
    <w:rsid w:val="008D2DC9"/>
    <w:rsid w:val="008D33C9"/>
    <w:rsid w:val="008D3828"/>
    <w:rsid w:val="008D3BA2"/>
    <w:rsid w:val="008D3C65"/>
    <w:rsid w:val="008D4408"/>
    <w:rsid w:val="008D4B49"/>
    <w:rsid w:val="008D50DB"/>
    <w:rsid w:val="008D53CE"/>
    <w:rsid w:val="008D7D2D"/>
    <w:rsid w:val="008E01BE"/>
    <w:rsid w:val="008E0ABC"/>
    <w:rsid w:val="008E12BC"/>
    <w:rsid w:val="008E15AA"/>
    <w:rsid w:val="008E2299"/>
    <w:rsid w:val="008E3ABA"/>
    <w:rsid w:val="008E4854"/>
    <w:rsid w:val="008E53D8"/>
    <w:rsid w:val="008E6088"/>
    <w:rsid w:val="008E60F9"/>
    <w:rsid w:val="008E6709"/>
    <w:rsid w:val="008E7022"/>
    <w:rsid w:val="008E7632"/>
    <w:rsid w:val="008E7951"/>
    <w:rsid w:val="008F01EE"/>
    <w:rsid w:val="008F042E"/>
    <w:rsid w:val="008F1B54"/>
    <w:rsid w:val="008F2E4F"/>
    <w:rsid w:val="008F3116"/>
    <w:rsid w:val="008F3328"/>
    <w:rsid w:val="008F33CA"/>
    <w:rsid w:val="008F3C43"/>
    <w:rsid w:val="008F3D74"/>
    <w:rsid w:val="008F4484"/>
    <w:rsid w:val="008F4971"/>
    <w:rsid w:val="008F4E5F"/>
    <w:rsid w:val="008F6926"/>
    <w:rsid w:val="008F7440"/>
    <w:rsid w:val="008F7D90"/>
    <w:rsid w:val="00900B60"/>
    <w:rsid w:val="009015F3"/>
    <w:rsid w:val="00902D32"/>
    <w:rsid w:val="0090360E"/>
    <w:rsid w:val="00903804"/>
    <w:rsid w:val="009038EB"/>
    <w:rsid w:val="00903CA7"/>
    <w:rsid w:val="00903EA4"/>
    <w:rsid w:val="0090428E"/>
    <w:rsid w:val="0090434C"/>
    <w:rsid w:val="009046C4"/>
    <w:rsid w:val="00905461"/>
    <w:rsid w:val="009055A8"/>
    <w:rsid w:val="009066D7"/>
    <w:rsid w:val="009069AF"/>
    <w:rsid w:val="0090755C"/>
    <w:rsid w:val="00910809"/>
    <w:rsid w:val="00915338"/>
    <w:rsid w:val="00915AF9"/>
    <w:rsid w:val="009161F6"/>
    <w:rsid w:val="00916411"/>
    <w:rsid w:val="00916E6B"/>
    <w:rsid w:val="009179D6"/>
    <w:rsid w:val="00917C4F"/>
    <w:rsid w:val="00920862"/>
    <w:rsid w:val="0092190A"/>
    <w:rsid w:val="00922384"/>
    <w:rsid w:val="00922FFB"/>
    <w:rsid w:val="0092489F"/>
    <w:rsid w:val="00924EF6"/>
    <w:rsid w:val="009325C0"/>
    <w:rsid w:val="00932755"/>
    <w:rsid w:val="0093292E"/>
    <w:rsid w:val="009333BA"/>
    <w:rsid w:val="009341EE"/>
    <w:rsid w:val="00934C27"/>
    <w:rsid w:val="00937349"/>
    <w:rsid w:val="009401D3"/>
    <w:rsid w:val="00940E62"/>
    <w:rsid w:val="009414E6"/>
    <w:rsid w:val="00942D31"/>
    <w:rsid w:val="00942E49"/>
    <w:rsid w:val="00943882"/>
    <w:rsid w:val="0094409E"/>
    <w:rsid w:val="00944920"/>
    <w:rsid w:val="00944A62"/>
    <w:rsid w:val="009458B4"/>
    <w:rsid w:val="009461D4"/>
    <w:rsid w:val="00946836"/>
    <w:rsid w:val="00946E28"/>
    <w:rsid w:val="00950A6A"/>
    <w:rsid w:val="0095173B"/>
    <w:rsid w:val="00951DAA"/>
    <w:rsid w:val="009525C0"/>
    <w:rsid w:val="00952944"/>
    <w:rsid w:val="00954309"/>
    <w:rsid w:val="009555F5"/>
    <w:rsid w:val="00957498"/>
    <w:rsid w:val="009579BC"/>
    <w:rsid w:val="00957D02"/>
    <w:rsid w:val="00960A8F"/>
    <w:rsid w:val="0096169F"/>
    <w:rsid w:val="009629BD"/>
    <w:rsid w:val="00962D4E"/>
    <w:rsid w:val="0096308B"/>
    <w:rsid w:val="00963C23"/>
    <w:rsid w:val="00964AB4"/>
    <w:rsid w:val="009651DB"/>
    <w:rsid w:val="009662EA"/>
    <w:rsid w:val="009666F0"/>
    <w:rsid w:val="00966A52"/>
    <w:rsid w:val="00967F09"/>
    <w:rsid w:val="0097019A"/>
    <w:rsid w:val="00972818"/>
    <w:rsid w:val="0097317A"/>
    <w:rsid w:val="00973184"/>
    <w:rsid w:val="009732BF"/>
    <w:rsid w:val="00973354"/>
    <w:rsid w:val="009739C5"/>
    <w:rsid w:val="00976EF4"/>
    <w:rsid w:val="00982BCB"/>
    <w:rsid w:val="00983019"/>
    <w:rsid w:val="0098325A"/>
    <w:rsid w:val="00985784"/>
    <w:rsid w:val="0099042A"/>
    <w:rsid w:val="009919E8"/>
    <w:rsid w:val="00991DF0"/>
    <w:rsid w:val="00992D15"/>
    <w:rsid w:val="009936DA"/>
    <w:rsid w:val="00994267"/>
    <w:rsid w:val="009943A7"/>
    <w:rsid w:val="00995724"/>
    <w:rsid w:val="00995D6E"/>
    <w:rsid w:val="00996E6E"/>
    <w:rsid w:val="00997F38"/>
    <w:rsid w:val="009A043A"/>
    <w:rsid w:val="009A066D"/>
    <w:rsid w:val="009A1690"/>
    <w:rsid w:val="009A1C6D"/>
    <w:rsid w:val="009A1D57"/>
    <w:rsid w:val="009A286D"/>
    <w:rsid w:val="009A453F"/>
    <w:rsid w:val="009A6463"/>
    <w:rsid w:val="009A6A04"/>
    <w:rsid w:val="009A6B78"/>
    <w:rsid w:val="009A753D"/>
    <w:rsid w:val="009B18D4"/>
    <w:rsid w:val="009B40BF"/>
    <w:rsid w:val="009B5308"/>
    <w:rsid w:val="009B56B3"/>
    <w:rsid w:val="009B5935"/>
    <w:rsid w:val="009B60CD"/>
    <w:rsid w:val="009B65E6"/>
    <w:rsid w:val="009B6CBF"/>
    <w:rsid w:val="009B6E35"/>
    <w:rsid w:val="009B78C5"/>
    <w:rsid w:val="009B79B7"/>
    <w:rsid w:val="009B7A0A"/>
    <w:rsid w:val="009C1D8C"/>
    <w:rsid w:val="009C38BC"/>
    <w:rsid w:val="009C39F6"/>
    <w:rsid w:val="009C425D"/>
    <w:rsid w:val="009C4C53"/>
    <w:rsid w:val="009C4F68"/>
    <w:rsid w:val="009C591E"/>
    <w:rsid w:val="009C6E4A"/>
    <w:rsid w:val="009C6E72"/>
    <w:rsid w:val="009D0512"/>
    <w:rsid w:val="009D1D0D"/>
    <w:rsid w:val="009D3291"/>
    <w:rsid w:val="009D753D"/>
    <w:rsid w:val="009D7935"/>
    <w:rsid w:val="009E0212"/>
    <w:rsid w:val="009E189C"/>
    <w:rsid w:val="009E531D"/>
    <w:rsid w:val="009E5CB3"/>
    <w:rsid w:val="009E7E92"/>
    <w:rsid w:val="009F02B7"/>
    <w:rsid w:val="009F1334"/>
    <w:rsid w:val="009F15F9"/>
    <w:rsid w:val="009F4BCD"/>
    <w:rsid w:val="009F54A4"/>
    <w:rsid w:val="009F56E3"/>
    <w:rsid w:val="009F6BA1"/>
    <w:rsid w:val="009F758B"/>
    <w:rsid w:val="00A01144"/>
    <w:rsid w:val="00A03299"/>
    <w:rsid w:val="00A036C3"/>
    <w:rsid w:val="00A045F6"/>
    <w:rsid w:val="00A05412"/>
    <w:rsid w:val="00A065EC"/>
    <w:rsid w:val="00A07F34"/>
    <w:rsid w:val="00A10A9A"/>
    <w:rsid w:val="00A10B5A"/>
    <w:rsid w:val="00A122D2"/>
    <w:rsid w:val="00A122EC"/>
    <w:rsid w:val="00A13997"/>
    <w:rsid w:val="00A140F2"/>
    <w:rsid w:val="00A14CD3"/>
    <w:rsid w:val="00A14DB3"/>
    <w:rsid w:val="00A15AF0"/>
    <w:rsid w:val="00A15B52"/>
    <w:rsid w:val="00A16142"/>
    <w:rsid w:val="00A16282"/>
    <w:rsid w:val="00A1645D"/>
    <w:rsid w:val="00A16B9A"/>
    <w:rsid w:val="00A17430"/>
    <w:rsid w:val="00A178B5"/>
    <w:rsid w:val="00A17AD6"/>
    <w:rsid w:val="00A203C8"/>
    <w:rsid w:val="00A20990"/>
    <w:rsid w:val="00A21539"/>
    <w:rsid w:val="00A23EBC"/>
    <w:rsid w:val="00A24406"/>
    <w:rsid w:val="00A24F51"/>
    <w:rsid w:val="00A24FEA"/>
    <w:rsid w:val="00A27F4C"/>
    <w:rsid w:val="00A301B8"/>
    <w:rsid w:val="00A30FF5"/>
    <w:rsid w:val="00A3105B"/>
    <w:rsid w:val="00A3156B"/>
    <w:rsid w:val="00A3199A"/>
    <w:rsid w:val="00A32392"/>
    <w:rsid w:val="00A32E66"/>
    <w:rsid w:val="00A3418B"/>
    <w:rsid w:val="00A344BF"/>
    <w:rsid w:val="00A364EC"/>
    <w:rsid w:val="00A36823"/>
    <w:rsid w:val="00A400D8"/>
    <w:rsid w:val="00A416DE"/>
    <w:rsid w:val="00A41795"/>
    <w:rsid w:val="00A419C4"/>
    <w:rsid w:val="00A42003"/>
    <w:rsid w:val="00A42FCB"/>
    <w:rsid w:val="00A4341D"/>
    <w:rsid w:val="00A44814"/>
    <w:rsid w:val="00A4494E"/>
    <w:rsid w:val="00A4528B"/>
    <w:rsid w:val="00A45614"/>
    <w:rsid w:val="00A45B42"/>
    <w:rsid w:val="00A5081B"/>
    <w:rsid w:val="00A5091C"/>
    <w:rsid w:val="00A5260B"/>
    <w:rsid w:val="00A52B74"/>
    <w:rsid w:val="00A53F4B"/>
    <w:rsid w:val="00A54971"/>
    <w:rsid w:val="00A5563C"/>
    <w:rsid w:val="00A557A5"/>
    <w:rsid w:val="00A55E06"/>
    <w:rsid w:val="00A56008"/>
    <w:rsid w:val="00A56171"/>
    <w:rsid w:val="00A5651D"/>
    <w:rsid w:val="00A57C11"/>
    <w:rsid w:val="00A605E2"/>
    <w:rsid w:val="00A614ED"/>
    <w:rsid w:val="00A6399A"/>
    <w:rsid w:val="00A640D7"/>
    <w:rsid w:val="00A67CA7"/>
    <w:rsid w:val="00A7003F"/>
    <w:rsid w:val="00A70D88"/>
    <w:rsid w:val="00A71344"/>
    <w:rsid w:val="00A716E9"/>
    <w:rsid w:val="00A736B0"/>
    <w:rsid w:val="00A742BE"/>
    <w:rsid w:val="00A74D78"/>
    <w:rsid w:val="00A751E7"/>
    <w:rsid w:val="00A7590A"/>
    <w:rsid w:val="00A75EFB"/>
    <w:rsid w:val="00A7626F"/>
    <w:rsid w:val="00A765A0"/>
    <w:rsid w:val="00A76F7B"/>
    <w:rsid w:val="00A777D2"/>
    <w:rsid w:val="00A80108"/>
    <w:rsid w:val="00A82A37"/>
    <w:rsid w:val="00A84081"/>
    <w:rsid w:val="00A84635"/>
    <w:rsid w:val="00A85AF9"/>
    <w:rsid w:val="00A90483"/>
    <w:rsid w:val="00A92001"/>
    <w:rsid w:val="00A93B87"/>
    <w:rsid w:val="00A94C23"/>
    <w:rsid w:val="00A955D6"/>
    <w:rsid w:val="00A95873"/>
    <w:rsid w:val="00A95A20"/>
    <w:rsid w:val="00A96703"/>
    <w:rsid w:val="00A967E5"/>
    <w:rsid w:val="00A968A5"/>
    <w:rsid w:val="00A97B75"/>
    <w:rsid w:val="00AA0069"/>
    <w:rsid w:val="00AA04BD"/>
    <w:rsid w:val="00AA0EAE"/>
    <w:rsid w:val="00AA0FA0"/>
    <w:rsid w:val="00AA21C1"/>
    <w:rsid w:val="00AA2BC0"/>
    <w:rsid w:val="00AA2CCE"/>
    <w:rsid w:val="00AA3D32"/>
    <w:rsid w:val="00AA60D1"/>
    <w:rsid w:val="00AA6A2F"/>
    <w:rsid w:val="00AA7475"/>
    <w:rsid w:val="00AB33AD"/>
    <w:rsid w:val="00AB4647"/>
    <w:rsid w:val="00AB5715"/>
    <w:rsid w:val="00AB5A78"/>
    <w:rsid w:val="00AB683E"/>
    <w:rsid w:val="00AC0004"/>
    <w:rsid w:val="00AC682B"/>
    <w:rsid w:val="00AC6E12"/>
    <w:rsid w:val="00AC70A9"/>
    <w:rsid w:val="00AC718C"/>
    <w:rsid w:val="00AC7C53"/>
    <w:rsid w:val="00AD0EA2"/>
    <w:rsid w:val="00AD1072"/>
    <w:rsid w:val="00AD1142"/>
    <w:rsid w:val="00AD1399"/>
    <w:rsid w:val="00AD1E89"/>
    <w:rsid w:val="00AD338C"/>
    <w:rsid w:val="00AD4114"/>
    <w:rsid w:val="00AD521B"/>
    <w:rsid w:val="00AD622D"/>
    <w:rsid w:val="00AE0148"/>
    <w:rsid w:val="00AE0A62"/>
    <w:rsid w:val="00AE280E"/>
    <w:rsid w:val="00AE3596"/>
    <w:rsid w:val="00AE3F24"/>
    <w:rsid w:val="00AE7686"/>
    <w:rsid w:val="00AF0628"/>
    <w:rsid w:val="00AF07FE"/>
    <w:rsid w:val="00AF123F"/>
    <w:rsid w:val="00AF15F3"/>
    <w:rsid w:val="00AF49BE"/>
    <w:rsid w:val="00AF5DB0"/>
    <w:rsid w:val="00AF72B9"/>
    <w:rsid w:val="00AF731B"/>
    <w:rsid w:val="00AF7E64"/>
    <w:rsid w:val="00AF7EC2"/>
    <w:rsid w:val="00B015A2"/>
    <w:rsid w:val="00B01E40"/>
    <w:rsid w:val="00B02152"/>
    <w:rsid w:val="00B0221A"/>
    <w:rsid w:val="00B02226"/>
    <w:rsid w:val="00B025E3"/>
    <w:rsid w:val="00B03546"/>
    <w:rsid w:val="00B03737"/>
    <w:rsid w:val="00B10784"/>
    <w:rsid w:val="00B10B02"/>
    <w:rsid w:val="00B10EC0"/>
    <w:rsid w:val="00B11551"/>
    <w:rsid w:val="00B11650"/>
    <w:rsid w:val="00B1207A"/>
    <w:rsid w:val="00B1231C"/>
    <w:rsid w:val="00B12455"/>
    <w:rsid w:val="00B12F36"/>
    <w:rsid w:val="00B130C6"/>
    <w:rsid w:val="00B1578D"/>
    <w:rsid w:val="00B1791B"/>
    <w:rsid w:val="00B200E6"/>
    <w:rsid w:val="00B202A9"/>
    <w:rsid w:val="00B21F4B"/>
    <w:rsid w:val="00B226EE"/>
    <w:rsid w:val="00B227BC"/>
    <w:rsid w:val="00B23FBF"/>
    <w:rsid w:val="00B240D3"/>
    <w:rsid w:val="00B26318"/>
    <w:rsid w:val="00B307C2"/>
    <w:rsid w:val="00B30E39"/>
    <w:rsid w:val="00B313E0"/>
    <w:rsid w:val="00B33F50"/>
    <w:rsid w:val="00B35157"/>
    <w:rsid w:val="00B35168"/>
    <w:rsid w:val="00B35CF9"/>
    <w:rsid w:val="00B374A0"/>
    <w:rsid w:val="00B4043E"/>
    <w:rsid w:val="00B41982"/>
    <w:rsid w:val="00B42B3C"/>
    <w:rsid w:val="00B43679"/>
    <w:rsid w:val="00B43FF7"/>
    <w:rsid w:val="00B44D97"/>
    <w:rsid w:val="00B458DA"/>
    <w:rsid w:val="00B45F55"/>
    <w:rsid w:val="00B477A1"/>
    <w:rsid w:val="00B51DD4"/>
    <w:rsid w:val="00B53189"/>
    <w:rsid w:val="00B53585"/>
    <w:rsid w:val="00B53A88"/>
    <w:rsid w:val="00B53FD3"/>
    <w:rsid w:val="00B55A16"/>
    <w:rsid w:val="00B56AF6"/>
    <w:rsid w:val="00B56B66"/>
    <w:rsid w:val="00B56B98"/>
    <w:rsid w:val="00B56EBC"/>
    <w:rsid w:val="00B571A5"/>
    <w:rsid w:val="00B57626"/>
    <w:rsid w:val="00B60004"/>
    <w:rsid w:val="00B60CC9"/>
    <w:rsid w:val="00B615AF"/>
    <w:rsid w:val="00B63AA2"/>
    <w:rsid w:val="00B64861"/>
    <w:rsid w:val="00B66038"/>
    <w:rsid w:val="00B665B7"/>
    <w:rsid w:val="00B667FE"/>
    <w:rsid w:val="00B6733B"/>
    <w:rsid w:val="00B678CD"/>
    <w:rsid w:val="00B707FE"/>
    <w:rsid w:val="00B717AB"/>
    <w:rsid w:val="00B72018"/>
    <w:rsid w:val="00B73DBA"/>
    <w:rsid w:val="00B746A6"/>
    <w:rsid w:val="00B7482D"/>
    <w:rsid w:val="00B74F56"/>
    <w:rsid w:val="00B754DB"/>
    <w:rsid w:val="00B75663"/>
    <w:rsid w:val="00B75683"/>
    <w:rsid w:val="00B75B0B"/>
    <w:rsid w:val="00B75EB2"/>
    <w:rsid w:val="00B75F02"/>
    <w:rsid w:val="00B81F1E"/>
    <w:rsid w:val="00B82E0C"/>
    <w:rsid w:val="00B83246"/>
    <w:rsid w:val="00B84FB1"/>
    <w:rsid w:val="00B8526F"/>
    <w:rsid w:val="00B85630"/>
    <w:rsid w:val="00B90A56"/>
    <w:rsid w:val="00B90CCF"/>
    <w:rsid w:val="00B90EC0"/>
    <w:rsid w:val="00B91253"/>
    <w:rsid w:val="00B9139F"/>
    <w:rsid w:val="00B93710"/>
    <w:rsid w:val="00B93C8A"/>
    <w:rsid w:val="00B93D81"/>
    <w:rsid w:val="00B93EA4"/>
    <w:rsid w:val="00B947D5"/>
    <w:rsid w:val="00B94FC3"/>
    <w:rsid w:val="00B9517F"/>
    <w:rsid w:val="00B95838"/>
    <w:rsid w:val="00B96646"/>
    <w:rsid w:val="00B96B1E"/>
    <w:rsid w:val="00B96B59"/>
    <w:rsid w:val="00BA03AA"/>
    <w:rsid w:val="00BA0EC1"/>
    <w:rsid w:val="00BA179C"/>
    <w:rsid w:val="00BA3950"/>
    <w:rsid w:val="00BA4BB2"/>
    <w:rsid w:val="00BA5A2F"/>
    <w:rsid w:val="00BA5DD3"/>
    <w:rsid w:val="00BA7FCD"/>
    <w:rsid w:val="00BB0078"/>
    <w:rsid w:val="00BB0CF9"/>
    <w:rsid w:val="00BB0F18"/>
    <w:rsid w:val="00BB256B"/>
    <w:rsid w:val="00BB2629"/>
    <w:rsid w:val="00BB286F"/>
    <w:rsid w:val="00BB46D5"/>
    <w:rsid w:val="00BB76E3"/>
    <w:rsid w:val="00BC0A4F"/>
    <w:rsid w:val="00BC0E88"/>
    <w:rsid w:val="00BC0FD6"/>
    <w:rsid w:val="00BC13FD"/>
    <w:rsid w:val="00BC1C0B"/>
    <w:rsid w:val="00BC2BFC"/>
    <w:rsid w:val="00BC3671"/>
    <w:rsid w:val="00BC458C"/>
    <w:rsid w:val="00BC51F7"/>
    <w:rsid w:val="00BC5519"/>
    <w:rsid w:val="00BC5571"/>
    <w:rsid w:val="00BC7AE6"/>
    <w:rsid w:val="00BD04C1"/>
    <w:rsid w:val="00BD0B51"/>
    <w:rsid w:val="00BD0E62"/>
    <w:rsid w:val="00BD1EEB"/>
    <w:rsid w:val="00BD287B"/>
    <w:rsid w:val="00BD2985"/>
    <w:rsid w:val="00BD35CC"/>
    <w:rsid w:val="00BD454D"/>
    <w:rsid w:val="00BD466D"/>
    <w:rsid w:val="00BD4B5B"/>
    <w:rsid w:val="00BD4F65"/>
    <w:rsid w:val="00BD7B93"/>
    <w:rsid w:val="00BE028C"/>
    <w:rsid w:val="00BE1720"/>
    <w:rsid w:val="00BE2CA4"/>
    <w:rsid w:val="00BE2E10"/>
    <w:rsid w:val="00BE3B24"/>
    <w:rsid w:val="00BE4BDF"/>
    <w:rsid w:val="00BE620F"/>
    <w:rsid w:val="00BE626C"/>
    <w:rsid w:val="00BF1071"/>
    <w:rsid w:val="00BF18F3"/>
    <w:rsid w:val="00BF20C3"/>
    <w:rsid w:val="00BF251B"/>
    <w:rsid w:val="00BF35C8"/>
    <w:rsid w:val="00BF3C8D"/>
    <w:rsid w:val="00BF4DEE"/>
    <w:rsid w:val="00BF518F"/>
    <w:rsid w:val="00BF582F"/>
    <w:rsid w:val="00BF6A8A"/>
    <w:rsid w:val="00BF6C29"/>
    <w:rsid w:val="00C01A51"/>
    <w:rsid w:val="00C033CF"/>
    <w:rsid w:val="00C039CB"/>
    <w:rsid w:val="00C048DE"/>
    <w:rsid w:val="00C04D52"/>
    <w:rsid w:val="00C04F57"/>
    <w:rsid w:val="00C05A6E"/>
    <w:rsid w:val="00C06919"/>
    <w:rsid w:val="00C0717D"/>
    <w:rsid w:val="00C11BD8"/>
    <w:rsid w:val="00C1213D"/>
    <w:rsid w:val="00C12839"/>
    <w:rsid w:val="00C12DDB"/>
    <w:rsid w:val="00C12E8F"/>
    <w:rsid w:val="00C1317A"/>
    <w:rsid w:val="00C13C25"/>
    <w:rsid w:val="00C13CA1"/>
    <w:rsid w:val="00C14435"/>
    <w:rsid w:val="00C14766"/>
    <w:rsid w:val="00C14DEC"/>
    <w:rsid w:val="00C14F31"/>
    <w:rsid w:val="00C152D1"/>
    <w:rsid w:val="00C15859"/>
    <w:rsid w:val="00C15C96"/>
    <w:rsid w:val="00C166B2"/>
    <w:rsid w:val="00C169E7"/>
    <w:rsid w:val="00C16BDB"/>
    <w:rsid w:val="00C175C8"/>
    <w:rsid w:val="00C20658"/>
    <w:rsid w:val="00C21A3A"/>
    <w:rsid w:val="00C2281F"/>
    <w:rsid w:val="00C23173"/>
    <w:rsid w:val="00C268DC"/>
    <w:rsid w:val="00C268EE"/>
    <w:rsid w:val="00C2724D"/>
    <w:rsid w:val="00C27B0F"/>
    <w:rsid w:val="00C27D70"/>
    <w:rsid w:val="00C31011"/>
    <w:rsid w:val="00C32CCE"/>
    <w:rsid w:val="00C330B1"/>
    <w:rsid w:val="00C33F90"/>
    <w:rsid w:val="00C353FA"/>
    <w:rsid w:val="00C354D1"/>
    <w:rsid w:val="00C362FA"/>
    <w:rsid w:val="00C3640E"/>
    <w:rsid w:val="00C3780E"/>
    <w:rsid w:val="00C40AB2"/>
    <w:rsid w:val="00C40BB1"/>
    <w:rsid w:val="00C418E6"/>
    <w:rsid w:val="00C41B7D"/>
    <w:rsid w:val="00C42A33"/>
    <w:rsid w:val="00C4343A"/>
    <w:rsid w:val="00C438A0"/>
    <w:rsid w:val="00C44B65"/>
    <w:rsid w:val="00C45E22"/>
    <w:rsid w:val="00C46D4A"/>
    <w:rsid w:val="00C47A86"/>
    <w:rsid w:val="00C50539"/>
    <w:rsid w:val="00C50F46"/>
    <w:rsid w:val="00C512F3"/>
    <w:rsid w:val="00C51E07"/>
    <w:rsid w:val="00C523D2"/>
    <w:rsid w:val="00C52D40"/>
    <w:rsid w:val="00C5302E"/>
    <w:rsid w:val="00C53297"/>
    <w:rsid w:val="00C532A3"/>
    <w:rsid w:val="00C54132"/>
    <w:rsid w:val="00C54A8E"/>
    <w:rsid w:val="00C550AD"/>
    <w:rsid w:val="00C557EE"/>
    <w:rsid w:val="00C56EB3"/>
    <w:rsid w:val="00C575B4"/>
    <w:rsid w:val="00C57AC7"/>
    <w:rsid w:val="00C60590"/>
    <w:rsid w:val="00C60991"/>
    <w:rsid w:val="00C62157"/>
    <w:rsid w:val="00C6333E"/>
    <w:rsid w:val="00C63A39"/>
    <w:rsid w:val="00C63C37"/>
    <w:rsid w:val="00C6493B"/>
    <w:rsid w:val="00C7059E"/>
    <w:rsid w:val="00C70B7D"/>
    <w:rsid w:val="00C70DFB"/>
    <w:rsid w:val="00C72E54"/>
    <w:rsid w:val="00C7444F"/>
    <w:rsid w:val="00C74459"/>
    <w:rsid w:val="00C74A8D"/>
    <w:rsid w:val="00C76405"/>
    <w:rsid w:val="00C76707"/>
    <w:rsid w:val="00C77372"/>
    <w:rsid w:val="00C7773F"/>
    <w:rsid w:val="00C8093D"/>
    <w:rsid w:val="00C809EB"/>
    <w:rsid w:val="00C813DC"/>
    <w:rsid w:val="00C82815"/>
    <w:rsid w:val="00C835CE"/>
    <w:rsid w:val="00C853E7"/>
    <w:rsid w:val="00C8612C"/>
    <w:rsid w:val="00C86DC1"/>
    <w:rsid w:val="00C907C3"/>
    <w:rsid w:val="00C90D6F"/>
    <w:rsid w:val="00C91FC0"/>
    <w:rsid w:val="00C92339"/>
    <w:rsid w:val="00C924A5"/>
    <w:rsid w:val="00C93565"/>
    <w:rsid w:val="00C942DB"/>
    <w:rsid w:val="00C94FF8"/>
    <w:rsid w:val="00C96C53"/>
    <w:rsid w:val="00CA1153"/>
    <w:rsid w:val="00CA1912"/>
    <w:rsid w:val="00CA1B49"/>
    <w:rsid w:val="00CA3764"/>
    <w:rsid w:val="00CA3D3C"/>
    <w:rsid w:val="00CA49A7"/>
    <w:rsid w:val="00CA7013"/>
    <w:rsid w:val="00CA7082"/>
    <w:rsid w:val="00CA7BAF"/>
    <w:rsid w:val="00CB0836"/>
    <w:rsid w:val="00CB1384"/>
    <w:rsid w:val="00CB1938"/>
    <w:rsid w:val="00CB24D2"/>
    <w:rsid w:val="00CB2673"/>
    <w:rsid w:val="00CB3F14"/>
    <w:rsid w:val="00CB4F4C"/>
    <w:rsid w:val="00CB5F3B"/>
    <w:rsid w:val="00CB714E"/>
    <w:rsid w:val="00CC0722"/>
    <w:rsid w:val="00CC64C8"/>
    <w:rsid w:val="00CC72C7"/>
    <w:rsid w:val="00CC7B9C"/>
    <w:rsid w:val="00CD091E"/>
    <w:rsid w:val="00CD1905"/>
    <w:rsid w:val="00CD1E6E"/>
    <w:rsid w:val="00CD2499"/>
    <w:rsid w:val="00CD2FEA"/>
    <w:rsid w:val="00CD3443"/>
    <w:rsid w:val="00CD536A"/>
    <w:rsid w:val="00CD5AA5"/>
    <w:rsid w:val="00CD5C47"/>
    <w:rsid w:val="00CD6BE7"/>
    <w:rsid w:val="00CD754D"/>
    <w:rsid w:val="00CE0813"/>
    <w:rsid w:val="00CE14A7"/>
    <w:rsid w:val="00CE1D83"/>
    <w:rsid w:val="00CE2303"/>
    <w:rsid w:val="00CE318E"/>
    <w:rsid w:val="00CE386F"/>
    <w:rsid w:val="00CE4301"/>
    <w:rsid w:val="00CE43C6"/>
    <w:rsid w:val="00CE6884"/>
    <w:rsid w:val="00CE7B66"/>
    <w:rsid w:val="00CE7C9C"/>
    <w:rsid w:val="00CF0997"/>
    <w:rsid w:val="00CF0C7E"/>
    <w:rsid w:val="00CF234F"/>
    <w:rsid w:val="00CF260D"/>
    <w:rsid w:val="00CF2F83"/>
    <w:rsid w:val="00CF318C"/>
    <w:rsid w:val="00CF437F"/>
    <w:rsid w:val="00CF7FBB"/>
    <w:rsid w:val="00D019C6"/>
    <w:rsid w:val="00D02E15"/>
    <w:rsid w:val="00D03179"/>
    <w:rsid w:val="00D03554"/>
    <w:rsid w:val="00D0429B"/>
    <w:rsid w:val="00D04875"/>
    <w:rsid w:val="00D04C84"/>
    <w:rsid w:val="00D052C5"/>
    <w:rsid w:val="00D06B77"/>
    <w:rsid w:val="00D10046"/>
    <w:rsid w:val="00D10638"/>
    <w:rsid w:val="00D115F7"/>
    <w:rsid w:val="00D11A75"/>
    <w:rsid w:val="00D13027"/>
    <w:rsid w:val="00D158A2"/>
    <w:rsid w:val="00D15B31"/>
    <w:rsid w:val="00D1661E"/>
    <w:rsid w:val="00D16624"/>
    <w:rsid w:val="00D16671"/>
    <w:rsid w:val="00D16A70"/>
    <w:rsid w:val="00D178A4"/>
    <w:rsid w:val="00D21179"/>
    <w:rsid w:val="00D211A4"/>
    <w:rsid w:val="00D21E68"/>
    <w:rsid w:val="00D23645"/>
    <w:rsid w:val="00D24524"/>
    <w:rsid w:val="00D26CE5"/>
    <w:rsid w:val="00D26F13"/>
    <w:rsid w:val="00D26FEF"/>
    <w:rsid w:val="00D27D93"/>
    <w:rsid w:val="00D30528"/>
    <w:rsid w:val="00D30695"/>
    <w:rsid w:val="00D32AF0"/>
    <w:rsid w:val="00D32B8E"/>
    <w:rsid w:val="00D33207"/>
    <w:rsid w:val="00D40968"/>
    <w:rsid w:val="00D41BF1"/>
    <w:rsid w:val="00D42E26"/>
    <w:rsid w:val="00D45091"/>
    <w:rsid w:val="00D4550D"/>
    <w:rsid w:val="00D45E93"/>
    <w:rsid w:val="00D475B5"/>
    <w:rsid w:val="00D504D3"/>
    <w:rsid w:val="00D512DE"/>
    <w:rsid w:val="00D51487"/>
    <w:rsid w:val="00D519BC"/>
    <w:rsid w:val="00D519C4"/>
    <w:rsid w:val="00D51A7D"/>
    <w:rsid w:val="00D51FE8"/>
    <w:rsid w:val="00D52B1B"/>
    <w:rsid w:val="00D53A25"/>
    <w:rsid w:val="00D53D31"/>
    <w:rsid w:val="00D54206"/>
    <w:rsid w:val="00D54FAB"/>
    <w:rsid w:val="00D55231"/>
    <w:rsid w:val="00D55AE3"/>
    <w:rsid w:val="00D55E3A"/>
    <w:rsid w:val="00D565AF"/>
    <w:rsid w:val="00D5683A"/>
    <w:rsid w:val="00D57199"/>
    <w:rsid w:val="00D60F6F"/>
    <w:rsid w:val="00D610DC"/>
    <w:rsid w:val="00D615C0"/>
    <w:rsid w:val="00D62005"/>
    <w:rsid w:val="00D62263"/>
    <w:rsid w:val="00D622E1"/>
    <w:rsid w:val="00D62585"/>
    <w:rsid w:val="00D62CD6"/>
    <w:rsid w:val="00D63261"/>
    <w:rsid w:val="00D63331"/>
    <w:rsid w:val="00D6407E"/>
    <w:rsid w:val="00D642BF"/>
    <w:rsid w:val="00D6458F"/>
    <w:rsid w:val="00D70699"/>
    <w:rsid w:val="00D70940"/>
    <w:rsid w:val="00D75011"/>
    <w:rsid w:val="00D760FC"/>
    <w:rsid w:val="00D76279"/>
    <w:rsid w:val="00D763FF"/>
    <w:rsid w:val="00D774A2"/>
    <w:rsid w:val="00D807A1"/>
    <w:rsid w:val="00D81466"/>
    <w:rsid w:val="00D8293F"/>
    <w:rsid w:val="00D83F67"/>
    <w:rsid w:val="00D84307"/>
    <w:rsid w:val="00D84B02"/>
    <w:rsid w:val="00D84DC9"/>
    <w:rsid w:val="00D84E7C"/>
    <w:rsid w:val="00D85746"/>
    <w:rsid w:val="00D8586C"/>
    <w:rsid w:val="00D85B43"/>
    <w:rsid w:val="00D8603B"/>
    <w:rsid w:val="00D8663A"/>
    <w:rsid w:val="00D86F30"/>
    <w:rsid w:val="00D87A16"/>
    <w:rsid w:val="00D87CA1"/>
    <w:rsid w:val="00D87FCA"/>
    <w:rsid w:val="00D90513"/>
    <w:rsid w:val="00D915FC"/>
    <w:rsid w:val="00D92A52"/>
    <w:rsid w:val="00D93F64"/>
    <w:rsid w:val="00D94134"/>
    <w:rsid w:val="00D9447A"/>
    <w:rsid w:val="00D95162"/>
    <w:rsid w:val="00D970B7"/>
    <w:rsid w:val="00D973C2"/>
    <w:rsid w:val="00DA2ADB"/>
    <w:rsid w:val="00DA3132"/>
    <w:rsid w:val="00DA35B1"/>
    <w:rsid w:val="00DA434A"/>
    <w:rsid w:val="00DA4E0A"/>
    <w:rsid w:val="00DA4E11"/>
    <w:rsid w:val="00DA5D3C"/>
    <w:rsid w:val="00DA6BB2"/>
    <w:rsid w:val="00DA79F3"/>
    <w:rsid w:val="00DA7B84"/>
    <w:rsid w:val="00DA7ED7"/>
    <w:rsid w:val="00DA7F61"/>
    <w:rsid w:val="00DB0C12"/>
    <w:rsid w:val="00DB1815"/>
    <w:rsid w:val="00DB1ED1"/>
    <w:rsid w:val="00DB23D2"/>
    <w:rsid w:val="00DB267D"/>
    <w:rsid w:val="00DB269B"/>
    <w:rsid w:val="00DB2D0F"/>
    <w:rsid w:val="00DB37EB"/>
    <w:rsid w:val="00DB3DA8"/>
    <w:rsid w:val="00DB4AAA"/>
    <w:rsid w:val="00DB582C"/>
    <w:rsid w:val="00DB6C42"/>
    <w:rsid w:val="00DC05A4"/>
    <w:rsid w:val="00DC3130"/>
    <w:rsid w:val="00DC3889"/>
    <w:rsid w:val="00DC3D0A"/>
    <w:rsid w:val="00DC52C4"/>
    <w:rsid w:val="00DC5CF4"/>
    <w:rsid w:val="00DC7394"/>
    <w:rsid w:val="00DD008C"/>
    <w:rsid w:val="00DD02FD"/>
    <w:rsid w:val="00DD0A97"/>
    <w:rsid w:val="00DD1254"/>
    <w:rsid w:val="00DD1531"/>
    <w:rsid w:val="00DD1669"/>
    <w:rsid w:val="00DD1B15"/>
    <w:rsid w:val="00DD5361"/>
    <w:rsid w:val="00DD6847"/>
    <w:rsid w:val="00DD6B11"/>
    <w:rsid w:val="00DD7A5E"/>
    <w:rsid w:val="00DD7F1E"/>
    <w:rsid w:val="00DE1305"/>
    <w:rsid w:val="00DE1467"/>
    <w:rsid w:val="00DE230D"/>
    <w:rsid w:val="00DE454E"/>
    <w:rsid w:val="00DE56F2"/>
    <w:rsid w:val="00DE75EE"/>
    <w:rsid w:val="00DE770B"/>
    <w:rsid w:val="00DF0671"/>
    <w:rsid w:val="00DF22D1"/>
    <w:rsid w:val="00DF26EC"/>
    <w:rsid w:val="00DF41AE"/>
    <w:rsid w:val="00DF5BC7"/>
    <w:rsid w:val="00DF5EDD"/>
    <w:rsid w:val="00E01C5A"/>
    <w:rsid w:val="00E01FB4"/>
    <w:rsid w:val="00E0222F"/>
    <w:rsid w:val="00E02581"/>
    <w:rsid w:val="00E0552E"/>
    <w:rsid w:val="00E05BB4"/>
    <w:rsid w:val="00E124CF"/>
    <w:rsid w:val="00E13AC6"/>
    <w:rsid w:val="00E14236"/>
    <w:rsid w:val="00E1615E"/>
    <w:rsid w:val="00E16BFF"/>
    <w:rsid w:val="00E178F3"/>
    <w:rsid w:val="00E20FA0"/>
    <w:rsid w:val="00E21FF3"/>
    <w:rsid w:val="00E239C6"/>
    <w:rsid w:val="00E24E77"/>
    <w:rsid w:val="00E25211"/>
    <w:rsid w:val="00E25773"/>
    <w:rsid w:val="00E26180"/>
    <w:rsid w:val="00E26613"/>
    <w:rsid w:val="00E27413"/>
    <w:rsid w:val="00E27422"/>
    <w:rsid w:val="00E27DE5"/>
    <w:rsid w:val="00E306A2"/>
    <w:rsid w:val="00E30D65"/>
    <w:rsid w:val="00E31279"/>
    <w:rsid w:val="00E31674"/>
    <w:rsid w:val="00E3255C"/>
    <w:rsid w:val="00E3303A"/>
    <w:rsid w:val="00E3303D"/>
    <w:rsid w:val="00E34C4C"/>
    <w:rsid w:val="00E362F2"/>
    <w:rsid w:val="00E37ECE"/>
    <w:rsid w:val="00E40E58"/>
    <w:rsid w:val="00E42047"/>
    <w:rsid w:val="00E43673"/>
    <w:rsid w:val="00E4379F"/>
    <w:rsid w:val="00E438F2"/>
    <w:rsid w:val="00E43E90"/>
    <w:rsid w:val="00E451BF"/>
    <w:rsid w:val="00E453DA"/>
    <w:rsid w:val="00E4553A"/>
    <w:rsid w:val="00E458C3"/>
    <w:rsid w:val="00E45FB0"/>
    <w:rsid w:val="00E46ED2"/>
    <w:rsid w:val="00E47436"/>
    <w:rsid w:val="00E5033F"/>
    <w:rsid w:val="00E5083D"/>
    <w:rsid w:val="00E520E9"/>
    <w:rsid w:val="00E521D1"/>
    <w:rsid w:val="00E547E3"/>
    <w:rsid w:val="00E54BF9"/>
    <w:rsid w:val="00E54FCE"/>
    <w:rsid w:val="00E55FD6"/>
    <w:rsid w:val="00E56E69"/>
    <w:rsid w:val="00E57403"/>
    <w:rsid w:val="00E57754"/>
    <w:rsid w:val="00E60693"/>
    <w:rsid w:val="00E6102C"/>
    <w:rsid w:val="00E6159F"/>
    <w:rsid w:val="00E61812"/>
    <w:rsid w:val="00E61B9C"/>
    <w:rsid w:val="00E61D3C"/>
    <w:rsid w:val="00E63029"/>
    <w:rsid w:val="00E63840"/>
    <w:rsid w:val="00E63ABA"/>
    <w:rsid w:val="00E63B0E"/>
    <w:rsid w:val="00E64336"/>
    <w:rsid w:val="00E646DD"/>
    <w:rsid w:val="00E66344"/>
    <w:rsid w:val="00E66F4E"/>
    <w:rsid w:val="00E66FF1"/>
    <w:rsid w:val="00E67154"/>
    <w:rsid w:val="00E7074C"/>
    <w:rsid w:val="00E7157D"/>
    <w:rsid w:val="00E729BC"/>
    <w:rsid w:val="00E73043"/>
    <w:rsid w:val="00E73529"/>
    <w:rsid w:val="00E736DD"/>
    <w:rsid w:val="00E73CB1"/>
    <w:rsid w:val="00E744CF"/>
    <w:rsid w:val="00E75283"/>
    <w:rsid w:val="00E760BB"/>
    <w:rsid w:val="00E779F8"/>
    <w:rsid w:val="00E77B1A"/>
    <w:rsid w:val="00E801A4"/>
    <w:rsid w:val="00E80787"/>
    <w:rsid w:val="00E809DC"/>
    <w:rsid w:val="00E80F84"/>
    <w:rsid w:val="00E821BD"/>
    <w:rsid w:val="00E836C7"/>
    <w:rsid w:val="00E84B97"/>
    <w:rsid w:val="00E853AC"/>
    <w:rsid w:val="00E8581F"/>
    <w:rsid w:val="00E876D3"/>
    <w:rsid w:val="00E8780B"/>
    <w:rsid w:val="00E87847"/>
    <w:rsid w:val="00E8791F"/>
    <w:rsid w:val="00E87E40"/>
    <w:rsid w:val="00E90166"/>
    <w:rsid w:val="00E91385"/>
    <w:rsid w:val="00E914F1"/>
    <w:rsid w:val="00E93CF8"/>
    <w:rsid w:val="00E93D46"/>
    <w:rsid w:val="00E94360"/>
    <w:rsid w:val="00E96EAB"/>
    <w:rsid w:val="00EA13B7"/>
    <w:rsid w:val="00EA2351"/>
    <w:rsid w:val="00EA482D"/>
    <w:rsid w:val="00EA4E6E"/>
    <w:rsid w:val="00EA5125"/>
    <w:rsid w:val="00EA5B5F"/>
    <w:rsid w:val="00EA5BE8"/>
    <w:rsid w:val="00EA6028"/>
    <w:rsid w:val="00EA6932"/>
    <w:rsid w:val="00EA773D"/>
    <w:rsid w:val="00EA7DF8"/>
    <w:rsid w:val="00EB08FC"/>
    <w:rsid w:val="00EB0D32"/>
    <w:rsid w:val="00EB2F4D"/>
    <w:rsid w:val="00EB3163"/>
    <w:rsid w:val="00EB3A56"/>
    <w:rsid w:val="00EB4050"/>
    <w:rsid w:val="00EB4AC9"/>
    <w:rsid w:val="00EB4AD0"/>
    <w:rsid w:val="00EB5033"/>
    <w:rsid w:val="00EB5630"/>
    <w:rsid w:val="00EB5DBC"/>
    <w:rsid w:val="00EB69C8"/>
    <w:rsid w:val="00EB6E4B"/>
    <w:rsid w:val="00EB7140"/>
    <w:rsid w:val="00EB79ED"/>
    <w:rsid w:val="00EB7B55"/>
    <w:rsid w:val="00EC09AD"/>
    <w:rsid w:val="00EC0B23"/>
    <w:rsid w:val="00EC1127"/>
    <w:rsid w:val="00EC1794"/>
    <w:rsid w:val="00EC3C11"/>
    <w:rsid w:val="00EC411A"/>
    <w:rsid w:val="00EC5E3C"/>
    <w:rsid w:val="00EC5E62"/>
    <w:rsid w:val="00EC617E"/>
    <w:rsid w:val="00EC6BCD"/>
    <w:rsid w:val="00EC704B"/>
    <w:rsid w:val="00EC7440"/>
    <w:rsid w:val="00ED1FA3"/>
    <w:rsid w:val="00ED20CE"/>
    <w:rsid w:val="00ED20D4"/>
    <w:rsid w:val="00ED234C"/>
    <w:rsid w:val="00ED2897"/>
    <w:rsid w:val="00ED2D3D"/>
    <w:rsid w:val="00ED3B28"/>
    <w:rsid w:val="00ED476D"/>
    <w:rsid w:val="00ED4828"/>
    <w:rsid w:val="00ED4DAB"/>
    <w:rsid w:val="00ED4DE0"/>
    <w:rsid w:val="00ED4E51"/>
    <w:rsid w:val="00ED5FD2"/>
    <w:rsid w:val="00ED7082"/>
    <w:rsid w:val="00ED7E39"/>
    <w:rsid w:val="00EE0732"/>
    <w:rsid w:val="00EE0BDA"/>
    <w:rsid w:val="00EE102B"/>
    <w:rsid w:val="00EE1133"/>
    <w:rsid w:val="00EE15F5"/>
    <w:rsid w:val="00EE16A4"/>
    <w:rsid w:val="00EE1DC2"/>
    <w:rsid w:val="00EE370D"/>
    <w:rsid w:val="00EE4CC9"/>
    <w:rsid w:val="00EE594D"/>
    <w:rsid w:val="00EE5B70"/>
    <w:rsid w:val="00EE6313"/>
    <w:rsid w:val="00EE63B9"/>
    <w:rsid w:val="00EE6D8E"/>
    <w:rsid w:val="00EF0B07"/>
    <w:rsid w:val="00EF107C"/>
    <w:rsid w:val="00EF377F"/>
    <w:rsid w:val="00EF3CCB"/>
    <w:rsid w:val="00EF50ED"/>
    <w:rsid w:val="00EF51E7"/>
    <w:rsid w:val="00EF5E1D"/>
    <w:rsid w:val="00EF6B24"/>
    <w:rsid w:val="00EF7B11"/>
    <w:rsid w:val="00F00A83"/>
    <w:rsid w:val="00F00F87"/>
    <w:rsid w:val="00F01B6F"/>
    <w:rsid w:val="00F01CFE"/>
    <w:rsid w:val="00F02FA5"/>
    <w:rsid w:val="00F030E8"/>
    <w:rsid w:val="00F06F38"/>
    <w:rsid w:val="00F07BED"/>
    <w:rsid w:val="00F1070A"/>
    <w:rsid w:val="00F11E56"/>
    <w:rsid w:val="00F12293"/>
    <w:rsid w:val="00F14F57"/>
    <w:rsid w:val="00F17CDA"/>
    <w:rsid w:val="00F205DD"/>
    <w:rsid w:val="00F21732"/>
    <w:rsid w:val="00F21A84"/>
    <w:rsid w:val="00F2212F"/>
    <w:rsid w:val="00F22751"/>
    <w:rsid w:val="00F22CEE"/>
    <w:rsid w:val="00F2331D"/>
    <w:rsid w:val="00F241B1"/>
    <w:rsid w:val="00F25100"/>
    <w:rsid w:val="00F26AA9"/>
    <w:rsid w:val="00F27494"/>
    <w:rsid w:val="00F27AE2"/>
    <w:rsid w:val="00F300C4"/>
    <w:rsid w:val="00F31563"/>
    <w:rsid w:val="00F31774"/>
    <w:rsid w:val="00F3255F"/>
    <w:rsid w:val="00F325F8"/>
    <w:rsid w:val="00F340A9"/>
    <w:rsid w:val="00F35003"/>
    <w:rsid w:val="00F35C0B"/>
    <w:rsid w:val="00F368A8"/>
    <w:rsid w:val="00F36A1F"/>
    <w:rsid w:val="00F3765D"/>
    <w:rsid w:val="00F37A2E"/>
    <w:rsid w:val="00F40033"/>
    <w:rsid w:val="00F40179"/>
    <w:rsid w:val="00F40466"/>
    <w:rsid w:val="00F42817"/>
    <w:rsid w:val="00F43FA6"/>
    <w:rsid w:val="00F44B8E"/>
    <w:rsid w:val="00F468BD"/>
    <w:rsid w:val="00F47980"/>
    <w:rsid w:val="00F47D07"/>
    <w:rsid w:val="00F50D8C"/>
    <w:rsid w:val="00F51239"/>
    <w:rsid w:val="00F53E25"/>
    <w:rsid w:val="00F56BE5"/>
    <w:rsid w:val="00F571FB"/>
    <w:rsid w:val="00F576FE"/>
    <w:rsid w:val="00F57D8F"/>
    <w:rsid w:val="00F600F1"/>
    <w:rsid w:val="00F603D6"/>
    <w:rsid w:val="00F60678"/>
    <w:rsid w:val="00F60873"/>
    <w:rsid w:val="00F609BE"/>
    <w:rsid w:val="00F60B67"/>
    <w:rsid w:val="00F61207"/>
    <w:rsid w:val="00F61532"/>
    <w:rsid w:val="00F62430"/>
    <w:rsid w:val="00F62595"/>
    <w:rsid w:val="00F62AC2"/>
    <w:rsid w:val="00F65303"/>
    <w:rsid w:val="00F65507"/>
    <w:rsid w:val="00F65572"/>
    <w:rsid w:val="00F70073"/>
    <w:rsid w:val="00F701C6"/>
    <w:rsid w:val="00F71010"/>
    <w:rsid w:val="00F73042"/>
    <w:rsid w:val="00F7692A"/>
    <w:rsid w:val="00F77AF6"/>
    <w:rsid w:val="00F77B44"/>
    <w:rsid w:val="00F800F3"/>
    <w:rsid w:val="00F80995"/>
    <w:rsid w:val="00F8099C"/>
    <w:rsid w:val="00F81D72"/>
    <w:rsid w:val="00F823BA"/>
    <w:rsid w:val="00F83547"/>
    <w:rsid w:val="00F84A63"/>
    <w:rsid w:val="00F84F24"/>
    <w:rsid w:val="00F852A1"/>
    <w:rsid w:val="00F869CA"/>
    <w:rsid w:val="00F86AE2"/>
    <w:rsid w:val="00F87736"/>
    <w:rsid w:val="00F8777E"/>
    <w:rsid w:val="00F87B3A"/>
    <w:rsid w:val="00F90751"/>
    <w:rsid w:val="00F91C87"/>
    <w:rsid w:val="00F91EBC"/>
    <w:rsid w:val="00F92566"/>
    <w:rsid w:val="00F92A7F"/>
    <w:rsid w:val="00F93635"/>
    <w:rsid w:val="00F93EDE"/>
    <w:rsid w:val="00F945AA"/>
    <w:rsid w:val="00F95B27"/>
    <w:rsid w:val="00FA1C5C"/>
    <w:rsid w:val="00FA2DA4"/>
    <w:rsid w:val="00FA2E54"/>
    <w:rsid w:val="00FA3817"/>
    <w:rsid w:val="00FA3944"/>
    <w:rsid w:val="00FA3D04"/>
    <w:rsid w:val="00FA6931"/>
    <w:rsid w:val="00FA7183"/>
    <w:rsid w:val="00FA72DD"/>
    <w:rsid w:val="00FB0646"/>
    <w:rsid w:val="00FB2A04"/>
    <w:rsid w:val="00FB2FE4"/>
    <w:rsid w:val="00FB5624"/>
    <w:rsid w:val="00FB6064"/>
    <w:rsid w:val="00FB7591"/>
    <w:rsid w:val="00FB7B15"/>
    <w:rsid w:val="00FC011B"/>
    <w:rsid w:val="00FC0363"/>
    <w:rsid w:val="00FC1290"/>
    <w:rsid w:val="00FC1AA6"/>
    <w:rsid w:val="00FC26D2"/>
    <w:rsid w:val="00FC3F50"/>
    <w:rsid w:val="00FC442C"/>
    <w:rsid w:val="00FC4481"/>
    <w:rsid w:val="00FC4B45"/>
    <w:rsid w:val="00FC59D7"/>
    <w:rsid w:val="00FC5ABD"/>
    <w:rsid w:val="00FC5FBE"/>
    <w:rsid w:val="00FC7283"/>
    <w:rsid w:val="00FC741B"/>
    <w:rsid w:val="00FC7F0B"/>
    <w:rsid w:val="00FD004B"/>
    <w:rsid w:val="00FD1269"/>
    <w:rsid w:val="00FD3442"/>
    <w:rsid w:val="00FD4891"/>
    <w:rsid w:val="00FD60FD"/>
    <w:rsid w:val="00FD6623"/>
    <w:rsid w:val="00FD73DE"/>
    <w:rsid w:val="00FD7C44"/>
    <w:rsid w:val="00FD7E0D"/>
    <w:rsid w:val="00FE0304"/>
    <w:rsid w:val="00FE05FC"/>
    <w:rsid w:val="00FE0851"/>
    <w:rsid w:val="00FE2282"/>
    <w:rsid w:val="00FE2C04"/>
    <w:rsid w:val="00FE32D4"/>
    <w:rsid w:val="00FE4326"/>
    <w:rsid w:val="00FE4739"/>
    <w:rsid w:val="00FE56A8"/>
    <w:rsid w:val="00FE5E3E"/>
    <w:rsid w:val="00FE6C90"/>
    <w:rsid w:val="00FF0100"/>
    <w:rsid w:val="00FF06A4"/>
    <w:rsid w:val="00FF0FFC"/>
    <w:rsid w:val="00FF1815"/>
    <w:rsid w:val="00FF2073"/>
    <w:rsid w:val="00FF3504"/>
    <w:rsid w:val="00FF3A32"/>
    <w:rsid w:val="00FF4070"/>
    <w:rsid w:val="00FF45BD"/>
    <w:rsid w:val="00FF46A7"/>
    <w:rsid w:val="00FF4B2C"/>
    <w:rsid w:val="00FF4B56"/>
    <w:rsid w:val="00FF6403"/>
    <w:rsid w:val="00FF66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206EF"/>
  <w15:chartTrackingRefBased/>
  <w15:docId w15:val="{F5FDF841-62BF-4A0D-B072-A78C7F66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9F54A4"/>
    <w:pPr>
      <w:spacing w:before="100" w:beforeAutospacing="1" w:after="100" w:afterAutospacing="1"/>
      <w:outlineLvl w:val="3"/>
    </w:pPr>
    <w:rPr>
      <w:b/>
      <w:b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link w:val="ParaLevel1Char"/>
    <w:pPr>
      <w:numPr>
        <w:numId w:val="1"/>
      </w:numPr>
      <w:tabs>
        <w:tab w:val="clear" w:pos="1145"/>
        <w:tab w:val="num" w:pos="720"/>
      </w:tabs>
      <w:suppressAutoHyphens/>
      <w:spacing w:before="240" w:after="240"/>
      <w:ind w:left="72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character" w:customStyle="1" w:styleId="Heading4Char">
    <w:name w:val="Heading 4 Char"/>
    <w:basedOn w:val="DefaultParagraphFont"/>
    <w:link w:val="Heading4"/>
    <w:uiPriority w:val="9"/>
    <w:rsid w:val="009F54A4"/>
    <w:rPr>
      <w:b/>
      <w:bCs/>
      <w:sz w:val="24"/>
      <w:szCs w:val="24"/>
    </w:rPr>
  </w:style>
  <w:style w:type="character" w:styleId="Emphasis">
    <w:name w:val="Emphasis"/>
    <w:basedOn w:val="DefaultParagraphFont"/>
    <w:uiPriority w:val="20"/>
    <w:qFormat/>
    <w:rsid w:val="009F54A4"/>
    <w:rPr>
      <w:i/>
      <w:iCs/>
    </w:rPr>
  </w:style>
  <w:style w:type="paragraph" w:customStyle="1" w:styleId="legclearfix1">
    <w:name w:val="legclearfix1"/>
    <w:basedOn w:val="Normal"/>
    <w:rsid w:val="009F54A4"/>
    <w:pPr>
      <w:spacing w:before="100" w:beforeAutospacing="1" w:after="100" w:afterAutospacing="1"/>
    </w:pPr>
    <w:rPr>
      <w:lang w:eastAsia="en-GB"/>
    </w:rPr>
  </w:style>
  <w:style w:type="character" w:customStyle="1" w:styleId="legds">
    <w:name w:val="legds"/>
    <w:basedOn w:val="DefaultParagraphFont"/>
    <w:rsid w:val="009F54A4"/>
  </w:style>
  <w:style w:type="character" w:customStyle="1" w:styleId="sbb9ee52a">
    <w:name w:val="sbb9ee52a"/>
    <w:basedOn w:val="DefaultParagraphFont"/>
    <w:rsid w:val="00FC7F0B"/>
  </w:style>
  <w:style w:type="paragraph" w:styleId="Revision">
    <w:name w:val="Revision"/>
    <w:hidden/>
    <w:uiPriority w:val="99"/>
    <w:semiHidden/>
    <w:rsid w:val="0026342D"/>
    <w:rPr>
      <w:sz w:val="24"/>
      <w:szCs w:val="24"/>
      <w:lang w:eastAsia="en-US"/>
    </w:rPr>
  </w:style>
  <w:style w:type="character" w:styleId="CommentReference">
    <w:name w:val="annotation reference"/>
    <w:basedOn w:val="DefaultParagraphFont"/>
    <w:rsid w:val="005340E1"/>
    <w:rPr>
      <w:sz w:val="16"/>
      <w:szCs w:val="16"/>
    </w:rPr>
  </w:style>
  <w:style w:type="paragraph" w:styleId="CommentText">
    <w:name w:val="annotation text"/>
    <w:basedOn w:val="Normal"/>
    <w:link w:val="CommentTextChar"/>
    <w:rsid w:val="005340E1"/>
    <w:rPr>
      <w:sz w:val="20"/>
      <w:szCs w:val="20"/>
    </w:rPr>
  </w:style>
  <w:style w:type="character" w:customStyle="1" w:styleId="CommentTextChar">
    <w:name w:val="Comment Text Char"/>
    <w:basedOn w:val="DefaultParagraphFont"/>
    <w:link w:val="CommentText"/>
    <w:rsid w:val="005340E1"/>
    <w:rPr>
      <w:lang w:eastAsia="en-US"/>
    </w:rPr>
  </w:style>
  <w:style w:type="paragraph" w:styleId="CommentSubject">
    <w:name w:val="annotation subject"/>
    <w:basedOn w:val="CommentText"/>
    <w:next w:val="CommentText"/>
    <w:link w:val="CommentSubjectChar"/>
    <w:rsid w:val="005340E1"/>
    <w:rPr>
      <w:b/>
      <w:bCs/>
    </w:rPr>
  </w:style>
  <w:style w:type="character" w:customStyle="1" w:styleId="CommentSubjectChar">
    <w:name w:val="Comment Subject Char"/>
    <w:basedOn w:val="CommentTextChar"/>
    <w:link w:val="CommentSubject"/>
    <w:rsid w:val="005340E1"/>
    <w:rPr>
      <w:b/>
      <w:bCs/>
      <w:lang w:eastAsia="en-US"/>
    </w:rPr>
  </w:style>
  <w:style w:type="paragraph" w:customStyle="1" w:styleId="Carlo">
    <w:name w:val="Carlo"/>
    <w:basedOn w:val="ParaLevel1"/>
    <w:link w:val="CarloChar"/>
    <w:qFormat/>
    <w:rsid w:val="00B947D5"/>
  </w:style>
  <w:style w:type="character" w:customStyle="1" w:styleId="ParaLevel1Char">
    <w:name w:val="ParaLevel1 Char"/>
    <w:basedOn w:val="DefaultParagraphFont"/>
    <w:link w:val="ParaLevel1"/>
    <w:rsid w:val="00B947D5"/>
    <w:rPr>
      <w:sz w:val="24"/>
      <w:lang w:eastAsia="en-US"/>
    </w:rPr>
  </w:style>
  <w:style w:type="character" w:customStyle="1" w:styleId="CarloChar">
    <w:name w:val="Carlo Char"/>
    <w:basedOn w:val="ParaLevel1Char"/>
    <w:link w:val="Carlo"/>
    <w:rsid w:val="00B947D5"/>
    <w:rPr>
      <w:sz w:val="24"/>
      <w:lang w:eastAsia="en-US"/>
    </w:rPr>
  </w:style>
  <w:style w:type="character" w:styleId="Hyperlink">
    <w:name w:val="Hyperlink"/>
    <w:basedOn w:val="DefaultParagraphFont"/>
    <w:uiPriority w:val="99"/>
    <w:unhideWhenUsed/>
    <w:rsid w:val="008F01EE"/>
    <w:rPr>
      <w:color w:val="0000FF"/>
      <w:u w:val="single"/>
    </w:rPr>
  </w:style>
  <w:style w:type="paragraph" w:styleId="FootnoteText">
    <w:name w:val="footnote text"/>
    <w:basedOn w:val="Normal"/>
    <w:link w:val="FootnoteTextChar"/>
    <w:rsid w:val="009D0512"/>
    <w:rPr>
      <w:sz w:val="20"/>
      <w:szCs w:val="20"/>
    </w:rPr>
  </w:style>
  <w:style w:type="character" w:customStyle="1" w:styleId="FootnoteTextChar">
    <w:name w:val="Footnote Text Char"/>
    <w:basedOn w:val="DefaultParagraphFont"/>
    <w:link w:val="FootnoteText"/>
    <w:rsid w:val="009D0512"/>
    <w:rPr>
      <w:lang w:eastAsia="en-US"/>
    </w:rPr>
  </w:style>
  <w:style w:type="character" w:styleId="FootnoteReference">
    <w:name w:val="footnote reference"/>
    <w:basedOn w:val="DefaultParagraphFont"/>
    <w:rsid w:val="009D0512"/>
    <w:rPr>
      <w:vertAlign w:val="superscript"/>
    </w:rPr>
  </w:style>
  <w:style w:type="character" w:styleId="UnresolvedMention">
    <w:name w:val="Unresolved Mention"/>
    <w:basedOn w:val="DefaultParagraphFont"/>
    <w:uiPriority w:val="99"/>
    <w:semiHidden/>
    <w:unhideWhenUsed/>
    <w:rsid w:val="006C6573"/>
    <w:rPr>
      <w:color w:val="605E5C"/>
      <w:shd w:val="clear" w:color="auto" w:fill="E1DFDD"/>
    </w:rPr>
  </w:style>
  <w:style w:type="character" w:customStyle="1" w:styleId="FooterChar">
    <w:name w:val="Footer Char"/>
    <w:basedOn w:val="DefaultParagraphFont"/>
    <w:link w:val="Footer"/>
    <w:uiPriority w:val="99"/>
    <w:rsid w:val="002F2079"/>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h55l\OneDrive%20-%20Ministry%20of%20Justice\JudgmentTemplate\Templates\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CB54-9590-4AA9-AE32-A51E693C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hc_judg2k</Template>
  <TotalTime>1</TotalTime>
  <Pages>47</Pages>
  <Words>22725</Words>
  <Characters>113054</Characters>
  <Application>Microsoft Office Word</Application>
  <DocSecurity>0</DocSecurity>
  <Lines>942</Lines>
  <Paragraphs>271</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Mutlu, Ozan</dc:creator>
  <cp:keywords/>
  <dc:description/>
  <cp:lastModifiedBy>Mutlu, Ozan</cp:lastModifiedBy>
  <cp:revision>3</cp:revision>
  <cp:lastPrinted>2026-04-14T16:42:00Z</cp:lastPrinted>
  <dcterms:created xsi:type="dcterms:W3CDTF">2026-04-21T12:05:00Z</dcterms:created>
  <dcterms:modified xsi:type="dcterms:W3CDTF">2026-04-21T12:56:00Z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KING'S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Judge">
    <vt:lpwstr>LORD JUSTICE HOLGATE</vt:lpwstr>
  </property>
  <property fmtid="{D5CDD505-2E9C-101B-9397-08002B2CF9AE}" pid="9" name="NCCaseNum">
    <vt:lpwstr>AC-2024-LON-001764</vt:lpwstr>
  </property>
  <property fmtid="{D5CDD505-2E9C-101B-9397-08002B2CF9AE}" pid="10" name="NCCaseTitle">
    <vt:lpwstr>R (Thompson and Carlo) v Commissioner of Police for the Metropolis</vt:lpwstr>
  </property>
  <property fmtid="{D5CDD505-2E9C-101B-9397-08002B2CF9AE}" pid="11" name="NCJudgeDate">
    <vt:lpwstr>21/04/2026</vt:lpwstr>
  </property>
  <property fmtid="{D5CDD505-2E9C-101B-9397-08002B2CF9AE}" pid="12" name="NCNumber">
    <vt:lpwstr>[2026] EWHC 915 (Admin)</vt:lpwstr>
  </property>
</Properties>
</file>